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B96BB">
      <w:pPr>
        <w:spacing w:after="240"/>
        <w:rPr>
          <w:kern w:val="0"/>
          <w:sz w:val="40"/>
          <w:lang w:val="zh-CN"/>
        </w:rPr>
      </w:pPr>
      <w:r>
        <w:rPr>
          <w:rFonts w:hint="eastAsia"/>
          <w:kern w:val="0"/>
          <w:sz w:val="40"/>
          <w:lang w:val="zh-CN"/>
        </w:rPr>
        <w:t>202</w:t>
      </w:r>
      <w:r>
        <w:rPr>
          <w:rFonts w:hint="eastAsia"/>
          <w:kern w:val="0"/>
          <w:sz w:val="40"/>
          <w:lang w:val="en-US" w:eastAsia="zh-CN"/>
        </w:rPr>
        <w:t>5</w:t>
      </w:r>
      <w:r>
        <w:rPr>
          <w:rFonts w:hint="eastAsia"/>
          <w:kern w:val="0"/>
          <w:sz w:val="40"/>
          <w:lang w:val="zh-CN"/>
        </w:rPr>
        <w:t>年1月号</w:t>
      </w:r>
    </w:p>
    <w:p w14:paraId="000BF2F6">
      <w:pPr>
        <w:pStyle w:val="2"/>
        <w:spacing w:afterLines="0" w:line="360" w:lineRule="auto"/>
        <w:rPr>
          <w:highlight w:val="yellow"/>
        </w:rPr>
      </w:pPr>
      <w:r>
        <w:rPr>
          <w:rFonts w:hint="eastAsia"/>
          <w:highlight w:val="yellow"/>
        </w:rPr>
        <w:t>卷首语</w:t>
      </w:r>
    </w:p>
    <w:p w14:paraId="721AB5CA">
      <w:pPr>
        <w:pStyle w:val="2"/>
        <w:spacing w:afterLines="0" w:line="360" w:lineRule="auto"/>
        <w:jc w:val="center"/>
        <w:rPr>
          <w:rFonts w:hint="eastAsia" w:eastAsia="宋体" w:asciiTheme="minorHAnsi" w:hAnsiTheme="minorHAnsi" w:cstheme="minorBidi"/>
          <w:b/>
          <w:bCs w:val="0"/>
          <w:color w:val="000000" w:themeColor="text1"/>
          <w:kern w:val="0"/>
          <w:sz w:val="32"/>
          <w:szCs w:val="22"/>
          <w:lang w:val="zh-CN" w:eastAsia="zh-CN" w:bidi="ar-SA"/>
        </w:rPr>
      </w:pPr>
      <w:r>
        <w:rPr>
          <w:rFonts w:hint="eastAsia" w:eastAsia="宋体" w:asciiTheme="minorHAnsi" w:hAnsiTheme="minorHAnsi" w:cstheme="minorBidi"/>
          <w:b/>
          <w:bCs w:val="0"/>
          <w:color w:val="000000" w:themeColor="text1"/>
          <w:kern w:val="0"/>
          <w:sz w:val="32"/>
          <w:szCs w:val="22"/>
          <w:lang w:val="zh-CN" w:eastAsia="zh-CN" w:bidi="ar-SA"/>
        </w:rPr>
        <w:t>习近平：民营经济发展前景广阔、大有可为</w:t>
      </w:r>
    </w:p>
    <w:p w14:paraId="33F2D217">
      <w:pPr>
        <w:pStyle w:val="26"/>
        <w:bidi w:val="0"/>
        <w:rPr>
          <w:rFonts w:hint="eastAsia"/>
        </w:rPr>
      </w:pPr>
      <w:r>
        <w:rPr>
          <w:rFonts w:hint="eastAsia"/>
        </w:rPr>
        <w:t>2月17日，习近平总书记出席民营企业座谈会并发表重要讲话，强调新时代新征程民营经济发展前景广阔、大有可为，广大民营企业和民营企业家大显身手正当其时。党的十八大以来，习近平总书记高度重视民营经济发展，发表一系列重要讲话，作出一系列谋划部署，为促进民营经济健康发展、高质量发展注入“强心剂”。</w:t>
      </w:r>
    </w:p>
    <w:p w14:paraId="4EB4A4CC">
      <w:pPr>
        <w:pStyle w:val="26"/>
        <w:bidi w:val="0"/>
        <w:rPr>
          <w:rFonts w:hint="eastAsia"/>
        </w:rPr>
      </w:pPr>
    </w:p>
    <w:p w14:paraId="25E1DDF0">
      <w:pPr>
        <w:pStyle w:val="26"/>
        <w:bidi w:val="0"/>
        <w:rPr>
          <w:rFonts w:hint="eastAsia"/>
        </w:rPr>
      </w:pPr>
      <w:r>
        <w:rPr>
          <w:rFonts w:hint="eastAsia"/>
        </w:rPr>
        <w:t>企业是经营主体，企业发展内生动力是第一位的。广大民营企业和民营企业家要满怀创业和报国激情，不断提升理想境界，厚植家国情怀，富而思源、富而思进，弘扬企业家精神，专心致志做强做优做大企业，坚定做中国特色社会主义的建设者、中国式现代化的促进者。</w:t>
      </w:r>
    </w:p>
    <w:p w14:paraId="1DE176C4">
      <w:pPr>
        <w:pStyle w:val="26"/>
        <w:bidi w:val="0"/>
        <w:rPr>
          <w:rFonts w:hint="eastAsia"/>
        </w:rPr>
      </w:pPr>
      <w:r>
        <w:rPr>
          <w:rFonts w:hint="eastAsia"/>
        </w:rPr>
        <w:t>——2025年2月17日，习近平在民营企业座谈会上的讲话</w:t>
      </w:r>
    </w:p>
    <w:p w14:paraId="56A90D2F">
      <w:pPr>
        <w:pStyle w:val="26"/>
        <w:bidi w:val="0"/>
        <w:rPr>
          <w:rFonts w:hint="eastAsia"/>
        </w:rPr>
      </w:pPr>
    </w:p>
    <w:p w14:paraId="53FF217D">
      <w:pPr>
        <w:pStyle w:val="26"/>
        <w:bidi w:val="0"/>
        <w:rPr>
          <w:rFonts w:hint="eastAsia"/>
        </w:rPr>
      </w:pPr>
      <w:r>
        <w:rPr>
          <w:rFonts w:hint="eastAsia"/>
        </w:rPr>
        <w:t>民营经济是我们党长期执政、团结带领全国人民实现“两个一百年”奋斗目标和中华民族伟大复兴中国梦的重要力量。我们始终把民营企业和民营企业家当作自己人，在民营企业遇到困难的时候给予支持，在民营企业遇到困惑的时候给予指导。</w:t>
      </w:r>
    </w:p>
    <w:p w14:paraId="16E5BD3F">
      <w:pPr>
        <w:pStyle w:val="26"/>
        <w:bidi w:val="0"/>
        <w:rPr>
          <w:rFonts w:hint="eastAsia"/>
        </w:rPr>
      </w:pPr>
      <w:r>
        <w:rPr>
          <w:rFonts w:hint="eastAsia"/>
        </w:rPr>
        <w:t>——2023年3月6日，习近平看望参加全国政协十四届一次会议的民建、工商联界委员并参加联组会时的讲话</w:t>
      </w:r>
    </w:p>
    <w:p w14:paraId="6958BB53">
      <w:pPr>
        <w:pStyle w:val="26"/>
        <w:bidi w:val="0"/>
        <w:rPr>
          <w:rFonts w:hint="eastAsia"/>
        </w:rPr>
      </w:pPr>
    </w:p>
    <w:p w14:paraId="70914E5C">
      <w:pPr>
        <w:pStyle w:val="26"/>
        <w:bidi w:val="0"/>
        <w:rPr>
          <w:rFonts w:hint="eastAsia"/>
        </w:rPr>
      </w:pPr>
      <w:r>
        <w:rPr>
          <w:rFonts w:hint="eastAsia"/>
        </w:rPr>
        <w:t>民营经济对经济社会发展、就业、财政税收、科技创新等具有重要作用。要从制度和法律上把对国企民企平等对待的要求落下来，从政策和舆论上鼓励支持民营经济和民营企业发展壮大。要依法保护民营企业产权和企业家权益。要全面梳理修订涉企法律法规政策，持续破除影响平等准入的壁垒。要完善公平竞争制度，反对地方保护和行政垄断，为民营企业开辟更多空间。要加强中小微企业管理服务，支持中小微企业和个体工商户发展。各级领导干部要为民营企业解难题、办实事，构建亲清政商关系。</w:t>
      </w:r>
    </w:p>
    <w:p w14:paraId="77F03EF1">
      <w:pPr>
        <w:pStyle w:val="26"/>
        <w:bidi w:val="0"/>
        <w:rPr>
          <w:rFonts w:hint="eastAsia"/>
        </w:rPr>
      </w:pPr>
      <w:r>
        <w:rPr>
          <w:rFonts w:hint="eastAsia"/>
        </w:rPr>
        <w:t>——2022年12月15日，习近平在中央经济工作会议上的讲话</w:t>
      </w:r>
    </w:p>
    <w:p w14:paraId="38F91D07">
      <w:pPr>
        <w:pStyle w:val="26"/>
        <w:bidi w:val="0"/>
        <w:rPr>
          <w:rFonts w:hint="eastAsia"/>
        </w:rPr>
      </w:pPr>
    </w:p>
    <w:p w14:paraId="4625E107">
      <w:pPr>
        <w:pStyle w:val="26"/>
        <w:bidi w:val="0"/>
        <w:rPr>
          <w:rFonts w:hint="eastAsia"/>
        </w:rPr>
      </w:pPr>
      <w:r>
        <w:rPr>
          <w:rFonts w:hint="eastAsia"/>
        </w:rPr>
        <w:t>改革开放以来，我国经济发展取得举世瞩目的成就，同广大企业家大力弘扬创新精神是分不开的。创新就要敢于承担风险。敢为天下先是战胜风险挑战、实现高质量发展特别需要弘扬的品质。大疫当前，百业艰难，但危中有机，唯创新者胜。企业家要做创新发展的探索者、组织者、引领者，勇于推动生产组织创新、技术创新、市场创新，重视技术研发和人力资本投入，有效调动员工创造力，努力把企业打造成为强大的创新主体，在困境中实现凤凰涅槃、浴火重生。</w:t>
      </w:r>
    </w:p>
    <w:p w14:paraId="6DF8189B">
      <w:pPr>
        <w:pStyle w:val="26"/>
        <w:bidi w:val="0"/>
        <w:rPr>
          <w:rFonts w:hint="eastAsia"/>
        </w:rPr>
      </w:pPr>
      <w:r>
        <w:rPr>
          <w:rFonts w:hint="eastAsia"/>
        </w:rPr>
        <w:t>——2020年7月21日，习近平在企业家座谈会上的讲话</w:t>
      </w:r>
    </w:p>
    <w:p w14:paraId="2B3945D9">
      <w:pPr>
        <w:pStyle w:val="26"/>
        <w:bidi w:val="0"/>
        <w:rPr>
          <w:rFonts w:hint="eastAsia"/>
        </w:rPr>
      </w:pPr>
    </w:p>
    <w:p w14:paraId="372D81C9">
      <w:pPr>
        <w:pStyle w:val="28"/>
        <w:bidi w:val="0"/>
        <w:rPr>
          <w:rFonts w:hint="eastAsia"/>
        </w:rPr>
      </w:pPr>
      <w:r>
        <w:rPr>
          <w:rFonts w:hint="eastAsia"/>
        </w:rPr>
        <w:t>（来源：党建网微平台）</w:t>
      </w:r>
    </w:p>
    <w:p w14:paraId="53332009">
      <w:pPr>
        <w:pStyle w:val="2"/>
        <w:spacing w:afterLines="0" w:line="360" w:lineRule="auto"/>
        <w:rPr>
          <w:highlight w:val="yellow"/>
        </w:rPr>
      </w:pPr>
    </w:p>
    <w:p w14:paraId="697E39B0">
      <w:pPr>
        <w:pStyle w:val="2"/>
        <w:spacing w:afterLines="0" w:line="360" w:lineRule="auto"/>
        <w:rPr>
          <w:rFonts w:ascii="黑体" w:hAnsi="黑体"/>
        </w:rPr>
      </w:pPr>
      <w:r>
        <w:rPr>
          <w:rFonts w:hint="eastAsia"/>
          <w:highlight w:val="yellow"/>
        </w:rPr>
        <w:t>目录</w:t>
      </w:r>
    </w:p>
    <w:p w14:paraId="380BC87C">
      <w:pPr>
        <w:pStyle w:val="26"/>
        <w:ind w:firstLine="560"/>
        <w:rPr>
          <w:b/>
          <w:lang w:val="zh-CN"/>
        </w:rPr>
      </w:pPr>
      <w:r>
        <w:rPr>
          <w:rFonts w:hint="eastAsia"/>
          <w:b/>
          <w:lang w:val="zh-CN"/>
        </w:rPr>
        <w:t xml:space="preserve">两会专题  </w:t>
      </w:r>
    </w:p>
    <w:p w14:paraId="0AEBABB2">
      <w:pPr>
        <w:pStyle w:val="26"/>
        <w:ind w:firstLine="562"/>
        <w:rPr>
          <w:rFonts w:hint="eastAsia"/>
          <w:lang w:val="zh-CN"/>
        </w:rPr>
      </w:pPr>
      <w:r>
        <w:rPr>
          <w:rFonts w:hint="eastAsia"/>
          <w:lang w:val="zh-CN"/>
        </w:rPr>
        <w:t>中国人民政治协商会议第十四届厦门市委员会常务委员会工作报告</w:t>
      </w:r>
    </w:p>
    <w:p w14:paraId="6A62CEB4">
      <w:pPr>
        <w:pStyle w:val="26"/>
        <w:ind w:firstLine="562"/>
        <w:rPr>
          <w:rFonts w:hint="eastAsia"/>
          <w:lang w:val="zh-CN"/>
        </w:rPr>
      </w:pPr>
      <w:r>
        <w:rPr>
          <w:rFonts w:hint="eastAsia"/>
          <w:lang w:val="zh-CN"/>
        </w:rPr>
        <w:t>——在政协第十四届厦门市委员会第四次会议上</w:t>
      </w:r>
    </w:p>
    <w:p w14:paraId="27D0442E">
      <w:pPr>
        <w:pStyle w:val="26"/>
        <w:ind w:firstLine="562"/>
        <w:rPr>
          <w:rFonts w:hint="eastAsia"/>
          <w:lang w:val="zh-CN"/>
        </w:rPr>
      </w:pPr>
      <w:r>
        <w:rPr>
          <w:rFonts w:hint="eastAsia"/>
          <w:lang w:val="zh-CN"/>
        </w:rPr>
        <w:t>中国人民政治协商会议第十四届厦门市委员会第四次会议决议</w:t>
      </w:r>
    </w:p>
    <w:p w14:paraId="6BE35BEF">
      <w:pPr>
        <w:pStyle w:val="26"/>
        <w:ind w:firstLine="562"/>
        <w:rPr>
          <w:rFonts w:hint="eastAsia"/>
          <w:lang w:val="zh-CN"/>
        </w:rPr>
      </w:pPr>
      <w:r>
        <w:rPr>
          <w:rFonts w:hint="eastAsia"/>
          <w:lang w:val="zh-CN"/>
        </w:rPr>
        <w:t>崔永辉、伍斌等市领导听取大会发言</w:t>
      </w:r>
    </w:p>
    <w:p w14:paraId="3FB93B1D">
      <w:pPr>
        <w:pStyle w:val="26"/>
        <w:ind w:firstLine="562"/>
        <w:rPr>
          <w:rFonts w:hint="eastAsia"/>
          <w:lang w:val="zh-CN"/>
        </w:rPr>
      </w:pPr>
      <w:r>
        <w:rPr>
          <w:rFonts w:hint="eastAsia"/>
          <w:lang w:val="zh-CN"/>
        </w:rPr>
        <w:t>伍斌参加联组讨论听取意见建议</w:t>
      </w:r>
    </w:p>
    <w:p w14:paraId="00BFDA24">
      <w:pPr>
        <w:pStyle w:val="26"/>
        <w:ind w:firstLine="562"/>
        <w:rPr>
          <w:rFonts w:hint="eastAsia"/>
          <w:lang w:val="zh-CN"/>
        </w:rPr>
      </w:pPr>
      <w:r>
        <w:rPr>
          <w:rFonts w:hint="eastAsia"/>
          <w:lang w:val="zh-CN"/>
        </w:rPr>
        <w:t>张国旺当选厦门市政协主席</w:t>
      </w:r>
    </w:p>
    <w:p w14:paraId="42F6F743">
      <w:pPr>
        <w:pStyle w:val="26"/>
        <w:ind w:firstLine="562"/>
        <w:rPr>
          <w:rFonts w:hint="eastAsia"/>
          <w:lang w:val="zh-CN"/>
        </w:rPr>
      </w:pPr>
      <w:r>
        <w:rPr>
          <w:rFonts w:hint="eastAsia"/>
          <w:lang w:val="zh-CN"/>
        </w:rPr>
        <w:t>市政协十四届四次会议收到提案668件</w:t>
      </w:r>
    </w:p>
    <w:p w14:paraId="65A5093F">
      <w:pPr>
        <w:pStyle w:val="26"/>
        <w:ind w:firstLine="562"/>
        <w:rPr>
          <w:rFonts w:hint="eastAsia"/>
          <w:lang w:val="zh-CN"/>
        </w:rPr>
      </w:pPr>
      <w:r>
        <w:rPr>
          <w:rFonts w:hint="eastAsia"/>
          <w:lang w:val="zh-CN"/>
        </w:rPr>
        <w:t>光荣榜</w:t>
      </w:r>
    </w:p>
    <w:p w14:paraId="3137E1E2">
      <w:pPr>
        <w:pStyle w:val="26"/>
        <w:ind w:firstLine="562"/>
        <w:rPr>
          <w:rFonts w:hint="eastAsia"/>
          <w:b/>
          <w:bCs/>
          <w:lang w:val="en-US" w:eastAsia="zh-CN"/>
        </w:rPr>
      </w:pPr>
      <w:r>
        <w:rPr>
          <w:rFonts w:hint="eastAsia"/>
          <w:b/>
          <w:bCs/>
          <w:lang w:val="en-US" w:eastAsia="zh-CN"/>
        </w:rPr>
        <w:t>要闻巡览</w:t>
      </w:r>
    </w:p>
    <w:p w14:paraId="67EA45BE">
      <w:pPr>
        <w:pStyle w:val="26"/>
        <w:ind w:firstLine="562"/>
        <w:rPr>
          <w:rFonts w:hint="eastAsia"/>
          <w:lang w:val="en-US" w:eastAsia="zh-CN"/>
        </w:rPr>
      </w:pPr>
      <w:r>
        <w:rPr>
          <w:rFonts w:hint="eastAsia"/>
          <w:lang w:val="en-US" w:eastAsia="zh-CN"/>
        </w:rPr>
        <w:t>奋力拼博 奋勇争先 提升政协履职质效</w:t>
      </w:r>
    </w:p>
    <w:p w14:paraId="6A985318">
      <w:pPr>
        <w:pStyle w:val="26"/>
        <w:ind w:firstLine="562"/>
        <w:rPr>
          <w:rFonts w:hint="eastAsia"/>
          <w:lang w:val="en-US" w:eastAsia="zh-CN"/>
        </w:rPr>
      </w:pPr>
      <w:r>
        <w:rPr>
          <w:rFonts w:hint="eastAsia"/>
          <w:lang w:val="en-US" w:eastAsia="zh-CN"/>
        </w:rPr>
        <w:t>市政协党组召开2024年度民主生活会</w:t>
      </w:r>
    </w:p>
    <w:p w14:paraId="62A363FE">
      <w:pPr>
        <w:pStyle w:val="26"/>
        <w:ind w:firstLine="562"/>
        <w:rPr>
          <w:rFonts w:hint="eastAsia"/>
          <w:lang w:val="en-US" w:eastAsia="zh-CN"/>
        </w:rPr>
      </w:pPr>
      <w:r>
        <w:rPr>
          <w:rFonts w:hint="eastAsia"/>
          <w:lang w:val="en-US" w:eastAsia="zh-CN"/>
        </w:rPr>
        <w:t>市政协党组召开述责述廉会议</w:t>
      </w:r>
    </w:p>
    <w:p w14:paraId="068676F2">
      <w:pPr>
        <w:pStyle w:val="26"/>
        <w:ind w:firstLine="562"/>
        <w:rPr>
          <w:rFonts w:hint="eastAsia"/>
          <w:lang w:val="en-US" w:eastAsia="zh-CN"/>
        </w:rPr>
      </w:pPr>
      <w:r>
        <w:rPr>
          <w:rFonts w:hint="eastAsia"/>
          <w:lang w:val="en-US" w:eastAsia="zh-CN"/>
        </w:rPr>
        <w:t>张国旺赴同安军营村及高山党校初心使命馆调研</w:t>
      </w:r>
    </w:p>
    <w:p w14:paraId="6F9CFBF8">
      <w:pPr>
        <w:pStyle w:val="26"/>
        <w:ind w:firstLine="562"/>
        <w:rPr>
          <w:rFonts w:hint="eastAsia"/>
          <w:lang w:val="en-US" w:eastAsia="zh-CN"/>
        </w:rPr>
      </w:pPr>
      <w:r>
        <w:rPr>
          <w:rFonts w:hint="eastAsia"/>
          <w:lang w:val="en-US" w:eastAsia="zh-CN"/>
        </w:rPr>
        <w:t>张国旺前往深田社区调研基层党建工作</w:t>
      </w:r>
    </w:p>
    <w:p w14:paraId="04D45610">
      <w:pPr>
        <w:pStyle w:val="26"/>
        <w:ind w:firstLine="562"/>
        <w:rPr>
          <w:rFonts w:hint="eastAsia"/>
          <w:lang w:val="en-US" w:eastAsia="zh-CN"/>
        </w:rPr>
      </w:pPr>
      <w:r>
        <w:rPr>
          <w:rFonts w:hint="eastAsia"/>
          <w:lang w:val="en-US" w:eastAsia="zh-CN"/>
        </w:rPr>
        <w:t>张国旺赴筼筜故事馆、筼筜书院调研</w:t>
      </w:r>
    </w:p>
    <w:p w14:paraId="073C8B12">
      <w:pPr>
        <w:pStyle w:val="26"/>
        <w:ind w:firstLine="562"/>
        <w:rPr>
          <w:rFonts w:hint="eastAsia"/>
          <w:lang w:val="en-US" w:eastAsia="zh-CN"/>
        </w:rPr>
      </w:pPr>
    </w:p>
    <w:p w14:paraId="1D445965">
      <w:pPr>
        <w:pStyle w:val="26"/>
        <w:ind w:firstLine="562"/>
        <w:rPr>
          <w:rFonts w:hint="eastAsia"/>
          <w:b/>
          <w:bCs/>
          <w:lang w:val="en-US" w:eastAsia="zh-CN"/>
        </w:rPr>
      </w:pPr>
      <w:r>
        <w:rPr>
          <w:rFonts w:hint="eastAsia"/>
          <w:b/>
          <w:bCs/>
          <w:lang w:val="en-US" w:eastAsia="zh-CN"/>
        </w:rPr>
        <w:t xml:space="preserve">委员风采  </w:t>
      </w:r>
    </w:p>
    <w:p w14:paraId="39408D29">
      <w:pPr>
        <w:pStyle w:val="26"/>
        <w:ind w:firstLine="562"/>
        <w:rPr>
          <w:rFonts w:hint="eastAsia"/>
          <w:lang w:val="en-US" w:eastAsia="zh-CN"/>
        </w:rPr>
      </w:pPr>
      <w:r>
        <w:rPr>
          <w:rFonts w:hint="eastAsia"/>
          <w:lang w:val="en-US" w:eastAsia="zh-CN"/>
        </w:rPr>
        <w:t>夏先鹏：构建出海企业强大的知识产权合规和保护体系</w:t>
      </w:r>
    </w:p>
    <w:p w14:paraId="140D5196">
      <w:pPr>
        <w:pStyle w:val="26"/>
        <w:ind w:firstLine="562"/>
        <w:rPr>
          <w:rFonts w:hint="eastAsia"/>
          <w:lang w:val="en-US" w:eastAsia="zh-CN"/>
        </w:rPr>
      </w:pPr>
      <w:r>
        <w:rPr>
          <w:rFonts w:hint="eastAsia"/>
          <w:lang w:val="en-US" w:eastAsia="zh-CN"/>
        </w:rPr>
        <w:t>吴丽冰：提供精准税务服务 促进台企在大陆投资发展</w:t>
      </w:r>
    </w:p>
    <w:p w14:paraId="477A6845">
      <w:pPr>
        <w:pStyle w:val="26"/>
        <w:ind w:firstLine="562"/>
        <w:rPr>
          <w:rFonts w:hint="eastAsia"/>
          <w:lang w:val="en-US" w:eastAsia="zh-CN"/>
        </w:rPr>
      </w:pPr>
      <w:r>
        <w:rPr>
          <w:rFonts w:hint="eastAsia"/>
          <w:lang w:val="en-US" w:eastAsia="zh-CN"/>
        </w:rPr>
        <w:t>陈  鸣：全力打造涉台司法服务优选地</w:t>
      </w:r>
    </w:p>
    <w:p w14:paraId="78ED556E">
      <w:pPr>
        <w:pStyle w:val="26"/>
        <w:ind w:firstLine="562"/>
        <w:rPr>
          <w:rFonts w:hint="eastAsia"/>
          <w:lang w:val="en-US" w:eastAsia="zh-CN"/>
        </w:rPr>
      </w:pPr>
      <w:r>
        <w:rPr>
          <w:rFonts w:hint="eastAsia"/>
          <w:lang w:val="en-US" w:eastAsia="zh-CN"/>
        </w:rPr>
        <w:t>魏成生：营商环境优无止境</w:t>
      </w:r>
    </w:p>
    <w:p w14:paraId="1A9EAA08">
      <w:pPr>
        <w:pStyle w:val="26"/>
        <w:ind w:firstLine="562"/>
        <w:rPr>
          <w:rFonts w:hint="eastAsia"/>
          <w:lang w:val="en-US" w:eastAsia="zh-CN"/>
        </w:rPr>
      </w:pPr>
      <w:r>
        <w:rPr>
          <w:rFonts w:hint="eastAsia"/>
          <w:lang w:val="en-US" w:eastAsia="zh-CN"/>
        </w:rPr>
        <w:t>眭国瑜：突破瓶颈 推动生物医药产业再上台阶</w:t>
      </w:r>
    </w:p>
    <w:p w14:paraId="69E14476">
      <w:pPr>
        <w:pStyle w:val="26"/>
        <w:ind w:firstLine="562"/>
        <w:rPr>
          <w:rFonts w:hint="eastAsia"/>
          <w:lang w:val="en-US" w:eastAsia="zh-CN"/>
        </w:rPr>
      </w:pPr>
      <w:r>
        <w:rPr>
          <w:rFonts w:hint="eastAsia"/>
          <w:lang w:val="en-US" w:eastAsia="zh-CN"/>
        </w:rPr>
        <w:t>王贺军：提升高能级科技创新平台效能</w:t>
      </w:r>
    </w:p>
    <w:p w14:paraId="3F7B7958">
      <w:pPr>
        <w:pStyle w:val="26"/>
        <w:ind w:firstLine="562"/>
        <w:rPr>
          <w:rFonts w:hint="eastAsia"/>
          <w:lang w:val="en-US" w:eastAsia="zh-CN"/>
        </w:rPr>
      </w:pPr>
      <w:r>
        <w:rPr>
          <w:rFonts w:hint="eastAsia"/>
          <w:lang w:val="en-US" w:eastAsia="zh-CN"/>
        </w:rPr>
        <w:t>叶瑞碧：推进托幼一体化发展</w:t>
      </w:r>
    </w:p>
    <w:p w14:paraId="0B7196E1">
      <w:pPr>
        <w:pStyle w:val="26"/>
        <w:ind w:firstLine="562"/>
        <w:rPr>
          <w:rFonts w:hint="eastAsia"/>
          <w:lang w:val="en-US" w:eastAsia="zh-CN"/>
        </w:rPr>
      </w:pPr>
      <w:r>
        <w:rPr>
          <w:rFonts w:hint="eastAsia"/>
          <w:lang w:val="en-US" w:eastAsia="zh-CN"/>
        </w:rPr>
        <w:t>杨清金：多措并举 打造福建特色新质生产力</w:t>
      </w:r>
    </w:p>
    <w:p w14:paraId="1F87EAEC">
      <w:pPr>
        <w:pStyle w:val="26"/>
        <w:ind w:firstLine="562"/>
        <w:rPr>
          <w:rFonts w:hint="eastAsia"/>
          <w:lang w:val="en-US" w:eastAsia="zh-CN"/>
        </w:rPr>
      </w:pPr>
      <w:r>
        <w:rPr>
          <w:rFonts w:hint="eastAsia"/>
          <w:lang w:val="en-US" w:eastAsia="zh-CN"/>
        </w:rPr>
        <w:t>李亚华：大力发展“非遗+文旅”业态</w:t>
      </w:r>
    </w:p>
    <w:p w14:paraId="371EE220">
      <w:pPr>
        <w:pStyle w:val="13"/>
        <w:rPr>
          <w:rFonts w:hint="eastAsia"/>
          <w:lang w:val="en-US" w:eastAsia="zh-CN"/>
        </w:rPr>
      </w:pPr>
    </w:p>
    <w:p w14:paraId="0CC8D554">
      <w:pPr>
        <w:pStyle w:val="26"/>
        <w:ind w:firstLine="562"/>
        <w:rPr>
          <w:rFonts w:hint="eastAsia"/>
          <w:b/>
          <w:bCs/>
          <w:lang w:val="en-US" w:eastAsia="zh-CN"/>
        </w:rPr>
      </w:pPr>
      <w:r>
        <w:rPr>
          <w:rFonts w:hint="eastAsia"/>
          <w:b/>
          <w:bCs/>
          <w:lang w:val="en-US" w:eastAsia="zh-CN"/>
        </w:rPr>
        <w:t xml:space="preserve">本期关注 </w:t>
      </w:r>
    </w:p>
    <w:p w14:paraId="270A2C32">
      <w:pPr>
        <w:pStyle w:val="26"/>
        <w:ind w:firstLine="562"/>
        <w:rPr>
          <w:rFonts w:hint="eastAsia"/>
          <w:lang w:val="en-US" w:eastAsia="zh-CN"/>
        </w:rPr>
      </w:pPr>
      <w:r>
        <w:rPr>
          <w:rFonts w:hint="eastAsia"/>
          <w:lang w:val="en-US" w:eastAsia="zh-CN"/>
        </w:rPr>
        <w:t>市政协工商联界别委员热议习近平总书记</w:t>
      </w:r>
    </w:p>
    <w:p w14:paraId="4A94011C">
      <w:pPr>
        <w:pStyle w:val="26"/>
        <w:ind w:firstLine="562"/>
        <w:rPr>
          <w:rFonts w:hint="eastAsia"/>
          <w:lang w:val="en-US" w:eastAsia="zh-CN"/>
        </w:rPr>
      </w:pPr>
      <w:r>
        <w:rPr>
          <w:rFonts w:hint="eastAsia"/>
          <w:lang w:val="en-US" w:eastAsia="zh-CN"/>
        </w:rPr>
        <w:t>在民营企业座谈会上的重要讲话</w:t>
      </w:r>
    </w:p>
    <w:p w14:paraId="6BC56B81">
      <w:pPr>
        <w:pStyle w:val="26"/>
        <w:ind w:firstLine="562"/>
        <w:rPr>
          <w:rFonts w:hint="eastAsia"/>
          <w:lang w:val="en-US" w:eastAsia="zh-CN"/>
        </w:rPr>
      </w:pPr>
    </w:p>
    <w:p w14:paraId="22F5C49B">
      <w:pPr>
        <w:pStyle w:val="26"/>
        <w:ind w:firstLine="562"/>
        <w:rPr>
          <w:rFonts w:hint="eastAsia"/>
          <w:b/>
          <w:bCs/>
          <w:lang w:val="en-US" w:eastAsia="zh-CN"/>
        </w:rPr>
      </w:pPr>
      <w:r>
        <w:rPr>
          <w:rFonts w:hint="eastAsia"/>
          <w:b/>
          <w:bCs/>
          <w:lang w:val="en-US" w:eastAsia="zh-CN"/>
        </w:rPr>
        <w:t xml:space="preserve">理论园地  </w:t>
      </w:r>
    </w:p>
    <w:p w14:paraId="5BA16FFE">
      <w:pPr>
        <w:pStyle w:val="26"/>
        <w:ind w:firstLine="562"/>
        <w:rPr>
          <w:rFonts w:hint="eastAsia"/>
          <w:lang w:val="en-US" w:eastAsia="zh-CN"/>
        </w:rPr>
      </w:pPr>
      <w:r>
        <w:rPr>
          <w:rFonts w:hint="eastAsia"/>
          <w:lang w:val="en-US" w:eastAsia="zh-CN"/>
        </w:rPr>
        <w:t>健全协商民主机制 为进一步全面深化改革彰显政协作为</w:t>
      </w:r>
    </w:p>
    <w:p w14:paraId="416002BF">
      <w:pPr>
        <w:pStyle w:val="26"/>
        <w:ind w:firstLine="562"/>
        <w:rPr>
          <w:rFonts w:hint="eastAsia"/>
          <w:lang w:val="en-US" w:eastAsia="zh-CN"/>
        </w:rPr>
      </w:pPr>
      <w:r>
        <w:rPr>
          <w:rFonts w:hint="eastAsia"/>
          <w:lang w:val="en-US" w:eastAsia="zh-CN"/>
        </w:rPr>
        <w:t>融入“三项机制”建设 创新推动提案工作提质增效</w:t>
      </w:r>
    </w:p>
    <w:p w14:paraId="093B58E5">
      <w:pPr>
        <w:pStyle w:val="26"/>
        <w:ind w:firstLine="562"/>
        <w:rPr>
          <w:rFonts w:hint="eastAsia"/>
          <w:lang w:val="en-US" w:eastAsia="zh-CN"/>
        </w:rPr>
      </w:pPr>
      <w:r>
        <w:rPr>
          <w:rFonts w:hint="eastAsia"/>
          <w:lang w:val="en-US" w:eastAsia="zh-CN"/>
        </w:rPr>
        <w:t>民主党派在公共决策中的作用及实现路径</w:t>
      </w:r>
    </w:p>
    <w:p w14:paraId="33AAEB59">
      <w:pPr>
        <w:pStyle w:val="26"/>
        <w:ind w:firstLine="562"/>
        <w:rPr>
          <w:rFonts w:hint="eastAsia"/>
          <w:lang w:val="en-US" w:eastAsia="zh-CN"/>
        </w:rPr>
      </w:pPr>
    </w:p>
    <w:p w14:paraId="7385D937">
      <w:pPr>
        <w:pStyle w:val="26"/>
        <w:ind w:firstLine="562"/>
        <w:rPr>
          <w:rFonts w:hint="eastAsia"/>
          <w:b/>
          <w:bCs/>
          <w:lang w:val="en-US" w:eastAsia="zh-CN"/>
        </w:rPr>
      </w:pPr>
      <w:r>
        <w:rPr>
          <w:rFonts w:hint="eastAsia"/>
          <w:b/>
          <w:bCs/>
          <w:lang w:val="en-US" w:eastAsia="zh-CN"/>
        </w:rPr>
        <w:t xml:space="preserve">提案故事  </w:t>
      </w:r>
    </w:p>
    <w:p w14:paraId="7868AEB4">
      <w:pPr>
        <w:pStyle w:val="26"/>
        <w:ind w:firstLine="562"/>
        <w:rPr>
          <w:rFonts w:hint="eastAsia"/>
          <w:lang w:val="en-US" w:eastAsia="zh-CN"/>
        </w:rPr>
      </w:pPr>
      <w:r>
        <w:rPr>
          <w:rFonts w:hint="eastAsia"/>
          <w:lang w:val="en-US" w:eastAsia="zh-CN"/>
        </w:rPr>
        <w:t>建言完善保障性住房建设 助力新就业创业青年人实现“安居梦”</w:t>
      </w:r>
    </w:p>
    <w:p w14:paraId="0182CF62">
      <w:pPr>
        <w:pStyle w:val="26"/>
        <w:ind w:firstLine="562"/>
        <w:rPr>
          <w:rFonts w:hint="eastAsia"/>
          <w:lang w:val="en-US" w:eastAsia="zh-CN"/>
        </w:rPr>
      </w:pPr>
      <w:r>
        <w:rPr>
          <w:rFonts w:hint="eastAsia"/>
          <w:lang w:val="en-US" w:eastAsia="zh-CN"/>
        </w:rPr>
        <w:t>深入调研出“金点子” 推动稀土产业高质量发展</w:t>
      </w:r>
    </w:p>
    <w:p w14:paraId="6372A9C4">
      <w:pPr>
        <w:pStyle w:val="26"/>
        <w:ind w:firstLine="562"/>
        <w:rPr>
          <w:rFonts w:hint="eastAsia"/>
          <w:lang w:val="en-US" w:eastAsia="zh-CN"/>
        </w:rPr>
      </w:pPr>
    </w:p>
    <w:p w14:paraId="2BE51AD5">
      <w:pPr>
        <w:pStyle w:val="26"/>
        <w:ind w:firstLine="562"/>
        <w:rPr>
          <w:rFonts w:hint="eastAsia"/>
          <w:b/>
          <w:bCs/>
          <w:lang w:val="en-US" w:eastAsia="zh-CN"/>
        </w:rPr>
      </w:pPr>
      <w:r>
        <w:rPr>
          <w:rFonts w:hint="eastAsia"/>
          <w:b/>
          <w:bCs/>
          <w:lang w:val="en-US" w:eastAsia="zh-CN"/>
        </w:rPr>
        <w:t xml:space="preserve">建言献策 </w:t>
      </w:r>
    </w:p>
    <w:p w14:paraId="2E779794">
      <w:pPr>
        <w:pStyle w:val="26"/>
        <w:ind w:firstLine="562"/>
        <w:rPr>
          <w:rFonts w:hint="eastAsia"/>
          <w:lang w:val="en-US" w:eastAsia="zh-CN"/>
        </w:rPr>
      </w:pPr>
      <w:r>
        <w:rPr>
          <w:rFonts w:hint="eastAsia"/>
          <w:lang w:val="en-US" w:eastAsia="zh-CN"/>
        </w:rPr>
        <w:t>加快DeepSeek等AI大模型在福建政务领域部署运用</w:t>
      </w:r>
    </w:p>
    <w:p w14:paraId="0B4915C0">
      <w:pPr>
        <w:pStyle w:val="26"/>
        <w:ind w:firstLine="562"/>
        <w:rPr>
          <w:rFonts w:hint="eastAsia"/>
          <w:lang w:val="en-US" w:eastAsia="zh-CN"/>
        </w:rPr>
      </w:pPr>
      <w:r>
        <w:rPr>
          <w:rFonts w:hint="eastAsia"/>
          <w:lang w:val="en-US" w:eastAsia="zh-CN"/>
        </w:rPr>
        <w:t>“数字公务员”改革对公共服务体系影响深刻  管理制度框架亟待构建</w:t>
      </w:r>
    </w:p>
    <w:p w14:paraId="55203349">
      <w:pPr>
        <w:pStyle w:val="26"/>
        <w:ind w:firstLine="562"/>
        <w:rPr>
          <w:rFonts w:hint="eastAsia"/>
          <w:lang w:val="en-US" w:eastAsia="zh-CN"/>
        </w:rPr>
      </w:pPr>
      <w:r>
        <w:rPr>
          <w:rFonts w:hint="eastAsia"/>
          <w:lang w:val="en-US" w:eastAsia="zh-CN"/>
        </w:rPr>
        <w:t>法律咨询公司“野蛮生长”亟待加强监管</w:t>
      </w:r>
    </w:p>
    <w:p w14:paraId="567FFFC3">
      <w:pPr>
        <w:pStyle w:val="26"/>
        <w:ind w:firstLine="562"/>
        <w:rPr>
          <w:rFonts w:hint="eastAsia"/>
          <w:lang w:val="en-US" w:eastAsia="zh-CN"/>
        </w:rPr>
      </w:pPr>
    </w:p>
    <w:p w14:paraId="7663D66D">
      <w:pPr>
        <w:pStyle w:val="26"/>
        <w:ind w:firstLine="562"/>
        <w:rPr>
          <w:rFonts w:hint="eastAsia"/>
          <w:b/>
          <w:bCs/>
          <w:lang w:val="en-US" w:eastAsia="zh-CN"/>
        </w:rPr>
      </w:pPr>
      <w:r>
        <w:rPr>
          <w:rFonts w:hint="eastAsia"/>
          <w:b/>
          <w:bCs/>
          <w:lang w:val="en-US" w:eastAsia="zh-CN"/>
        </w:rPr>
        <w:t xml:space="preserve">文苑漫步  </w:t>
      </w:r>
    </w:p>
    <w:p w14:paraId="44DC5199">
      <w:pPr>
        <w:pStyle w:val="26"/>
        <w:ind w:firstLine="562"/>
        <w:rPr>
          <w:rFonts w:hint="eastAsia"/>
          <w:lang w:val="en-US" w:eastAsia="zh-CN"/>
        </w:rPr>
      </w:pPr>
      <w:r>
        <w:rPr>
          <w:rFonts w:hint="eastAsia"/>
          <w:lang w:val="en-US" w:eastAsia="zh-CN"/>
        </w:rPr>
        <w:t>漫谈“厦门”</w:t>
      </w:r>
    </w:p>
    <w:p w14:paraId="018B5105">
      <w:pPr>
        <w:pStyle w:val="26"/>
        <w:ind w:firstLine="562"/>
        <w:rPr>
          <w:rFonts w:hint="eastAsia"/>
          <w:lang w:val="en-US" w:eastAsia="zh-CN"/>
        </w:rPr>
      </w:pPr>
    </w:p>
    <w:p w14:paraId="7F894AEB">
      <w:pPr>
        <w:pStyle w:val="26"/>
        <w:ind w:firstLine="562"/>
        <w:rPr>
          <w:rFonts w:hint="eastAsia"/>
          <w:lang w:val="en-US" w:eastAsia="zh-CN"/>
        </w:rPr>
      </w:pPr>
      <w:r>
        <w:rPr>
          <w:rFonts w:hint="eastAsia"/>
          <w:lang w:val="en-US" w:eastAsia="zh-CN"/>
        </w:rPr>
        <w:t>征集启事</w:t>
      </w:r>
    </w:p>
    <w:p w14:paraId="3C1880B2">
      <w:pPr>
        <w:pStyle w:val="13"/>
        <w:rPr>
          <w:rFonts w:hint="eastAsia"/>
          <w:lang w:val="en-US" w:eastAsia="zh-CN"/>
        </w:rPr>
      </w:pPr>
    </w:p>
    <w:p w14:paraId="3EF13450">
      <w:pPr>
        <w:pStyle w:val="26"/>
        <w:ind w:firstLine="562"/>
        <w:rPr>
          <w:rFonts w:hint="default"/>
          <w:lang w:val="en-US" w:eastAsia="zh-CN"/>
        </w:rPr>
      </w:pPr>
    </w:p>
    <w:p w14:paraId="7000F0AC">
      <w:pPr>
        <w:pStyle w:val="2"/>
        <w:spacing w:afterLines="0" w:line="360" w:lineRule="auto"/>
        <w:rPr>
          <w:b/>
          <w:highlight w:val="yellow"/>
          <w:lang w:val="zh-CN"/>
        </w:rPr>
      </w:pPr>
      <w:r>
        <w:rPr>
          <w:rFonts w:hint="eastAsia"/>
          <w:b/>
          <w:highlight w:val="yellow"/>
        </w:rPr>
        <w:t>两会专题</w:t>
      </w:r>
    </w:p>
    <w:p w14:paraId="7EF76CE1">
      <w:pPr>
        <w:spacing w:after="240"/>
        <w:rPr>
          <w:rFonts w:hint="eastAsia"/>
        </w:rPr>
      </w:pPr>
      <w:r>
        <w:rPr>
          <w:rFonts w:hint="eastAsia"/>
        </w:rPr>
        <w:t>中国人民政治协商会议</w:t>
      </w:r>
    </w:p>
    <w:p w14:paraId="39945A99">
      <w:pPr>
        <w:spacing w:after="240"/>
        <w:rPr>
          <w:rFonts w:hint="eastAsia"/>
        </w:rPr>
      </w:pPr>
      <w:r>
        <w:rPr>
          <w:rFonts w:hint="eastAsia"/>
        </w:rPr>
        <w:t>第十四届厦门市委员会常务委员会工作报告</w:t>
      </w:r>
    </w:p>
    <w:p w14:paraId="365C583C">
      <w:pPr>
        <w:spacing w:after="240"/>
      </w:pPr>
      <w:r>
        <w:rPr>
          <w:rFonts w:hint="eastAsia"/>
        </w:rPr>
        <w:t>——在政协第十四届厦门市委员会第四次会议上</w:t>
      </w:r>
    </w:p>
    <w:p w14:paraId="60997B72">
      <w:pPr>
        <w:pStyle w:val="21"/>
        <w:spacing w:after="240"/>
      </w:pPr>
      <w:r>
        <w:rPr>
          <w:rFonts w:hint="eastAsia"/>
        </w:rPr>
        <w:t>魏克良</w:t>
      </w:r>
    </w:p>
    <w:p w14:paraId="39B9629E">
      <w:pPr>
        <w:pStyle w:val="26"/>
        <w:bidi w:val="0"/>
        <w:rPr>
          <w:rFonts w:hint="eastAsia"/>
        </w:rPr>
      </w:pPr>
      <w:r>
        <w:rPr>
          <w:rFonts w:hint="eastAsia"/>
        </w:rPr>
        <w:t>各位委员：</w:t>
      </w:r>
    </w:p>
    <w:p w14:paraId="7206847F">
      <w:pPr>
        <w:pStyle w:val="26"/>
        <w:bidi w:val="0"/>
        <w:rPr>
          <w:rFonts w:hint="eastAsia"/>
        </w:rPr>
      </w:pPr>
      <w:r>
        <w:rPr>
          <w:rFonts w:hint="eastAsia"/>
        </w:rPr>
        <w:t>我代表政协第十四届厦门市委员会常务委员会，向大会报告工作，请予审议，并请列席人员提出意见。</w:t>
      </w:r>
    </w:p>
    <w:p w14:paraId="0FADD5E0">
      <w:pPr>
        <w:pStyle w:val="26"/>
        <w:bidi w:val="0"/>
        <w:jc w:val="center"/>
        <w:rPr>
          <w:rFonts w:hint="eastAsia"/>
          <w:b/>
          <w:bCs/>
        </w:rPr>
      </w:pPr>
      <w:r>
        <w:rPr>
          <w:rFonts w:hint="eastAsia"/>
          <w:b/>
          <w:bCs/>
        </w:rPr>
        <w:t>2024年工作回顾</w:t>
      </w:r>
    </w:p>
    <w:p w14:paraId="1D0B20C1">
      <w:pPr>
        <w:pStyle w:val="26"/>
        <w:bidi w:val="0"/>
        <w:rPr>
          <w:rFonts w:hint="eastAsia"/>
        </w:rPr>
      </w:pPr>
      <w:r>
        <w:rPr>
          <w:rFonts w:hint="eastAsia"/>
        </w:rPr>
        <w:t>2024年是新中国和人民政协成立75周年，也是厦门发展历程中具有里程碑意义的一年。市政协常委会在中共厦门市委的领导下，高举习近平新时代中国特色社会主义思想伟大旗帜，深入贯彻中共中央决策部署和省委、市委工作要求，紧扣中心履职尽责，持续深化“学思想、搭平台、善履职、强作风”思路举措，为厦门努力率先实现社会主义现代化作出积极贡献。</w:t>
      </w:r>
    </w:p>
    <w:p w14:paraId="0F405987">
      <w:pPr>
        <w:pStyle w:val="26"/>
        <w:bidi w:val="0"/>
        <w:rPr>
          <w:rFonts w:hint="eastAsia"/>
          <w:b/>
          <w:bCs/>
        </w:rPr>
      </w:pPr>
      <w:r>
        <w:rPr>
          <w:rFonts w:hint="eastAsia"/>
          <w:b/>
          <w:bCs/>
        </w:rPr>
        <w:t>这一年，我们着重落实三件大事</w:t>
      </w:r>
    </w:p>
    <w:p w14:paraId="391845F5">
      <w:pPr>
        <w:pStyle w:val="26"/>
        <w:bidi w:val="0"/>
        <w:rPr>
          <w:rFonts w:hint="eastAsia"/>
        </w:rPr>
      </w:pPr>
      <w:r>
        <w:rPr>
          <w:rFonts w:hint="eastAsia"/>
          <w:b/>
          <w:bCs/>
        </w:rPr>
        <w:t>一是深学细悟习近平总书记在福建、厦门考察时的重要讲话精神，加强思想政治引领，携手奋进新征程。</w:t>
      </w:r>
      <w:r>
        <w:rPr>
          <w:rFonts w:hint="eastAsia"/>
        </w:rPr>
        <w:t>习近平总书记回到福建、厦门考察，再次为厦门改革发展把脉定向、指路领航，全市社会各界备受鼓舞、倍感振奋、倍增信心。我们把学习宣传贯彻习近平总书记在福建、厦门考察时的重要讲话精神作为重大政治任务，与习近平总书记在福建、厦门工作期间的重要理念和重大实践，融会贯通、一体贯彻。市政协班子成员带头学习研讨、宣传宣讲。面向政协委员、界别群众先后举办专题学习、辅导讲座、座谈交流等30余场，有效引导广大政协委员和社会各界牢记嘱托、感恩奋进，把习近平总书记的亲切关怀、深情寄望，化为上下同心、砥砺奋进的铿锵步伐。</w:t>
      </w:r>
    </w:p>
    <w:p w14:paraId="4058E0D0">
      <w:pPr>
        <w:pStyle w:val="26"/>
        <w:bidi w:val="0"/>
        <w:rPr>
          <w:rFonts w:hint="eastAsia"/>
        </w:rPr>
      </w:pPr>
      <w:r>
        <w:rPr>
          <w:rFonts w:hint="eastAsia"/>
          <w:b/>
          <w:bCs/>
        </w:rPr>
        <w:t>二是深刻把握全面深化改革是推进中国式现代化的根本动力，竭智尽力建言资政，同心建功新时代。</w:t>
      </w:r>
      <w:r>
        <w:rPr>
          <w:rFonts w:hint="eastAsia"/>
        </w:rPr>
        <w:t>中共二十届三中全会拉开了进一步全面深化改革的大幕，也吹响了经济特区在更高起点上再出发的号角。我们围绕推进综合改革试点、重点领域改革等集思广益，提交提案44件，反映社情民意信息290条，形成调研报告23篇，助推形成更多首创性、突破性、标志性改革成果。坚持以开放促改革，围绕加快提升城市国际化水平、实施自贸试验区提升战略等多谋精准之策、多担发展之责，助力厦门在更高水平、更深层次、更宽领域推动改革开放。</w:t>
      </w:r>
    </w:p>
    <w:p w14:paraId="44D6D43A">
      <w:pPr>
        <w:pStyle w:val="26"/>
        <w:bidi w:val="0"/>
        <w:rPr>
          <w:rFonts w:hint="eastAsia"/>
        </w:rPr>
      </w:pPr>
      <w:r>
        <w:rPr>
          <w:rFonts w:hint="eastAsia"/>
          <w:b/>
          <w:bCs/>
        </w:rPr>
        <w:t>三是贯彻落实习近平总书记关于加强和改进人民政协工作的重要思想，大力发展协商民主，奋力谱写新篇章。</w:t>
      </w:r>
      <w:r>
        <w:rPr>
          <w:rFonts w:hint="eastAsia"/>
        </w:rPr>
        <w:t>习近平总书记在庆祝中国人民政治协商会议成立75周年大会上发表重要讲话，为新时代新征程人民政协事业高质量发展指明了前进方向、提供了根本遵循。市委召开政协工作会议，市委主要领导对政协工作作出具体部署。我们认真学习领会，坚决抓好贯彻落实。举办理论研讨会、书画展、优秀提案故事分享会等系列庆祝活动，从党领导人民政协走过的75年光辉历程中坚定道路自信、理论自信、制度自信、文化自信；制定修订提案工作、反映社情民意、政协理论研究等制度，与民革等党派共同推动政协提案与公益诉讼检察建议双向衔接转化机制，积极推进协商民主制度建设；建成启用新时代协商民主实践中心，为政协委员民主协商、联系群众提供有效空间和平台载体，充分展现社会主义协商民主制度优越性及协商民主理论在厦门的广泛实践。创新协商方式、丰富协商实践，全年开展协商议政58场，开展民主监督、视察调研300余场，形成调研报告70篇，办结提案498件，遴选并督办重点提案10件，协商民主广泛多层制度化发展更加有力有效。</w:t>
      </w:r>
    </w:p>
    <w:p w14:paraId="362D38A3">
      <w:pPr>
        <w:pStyle w:val="26"/>
        <w:bidi w:val="0"/>
        <w:rPr>
          <w:rFonts w:hint="eastAsia"/>
          <w:b/>
          <w:bCs/>
        </w:rPr>
      </w:pPr>
      <w:r>
        <w:rPr>
          <w:rFonts w:hint="eastAsia"/>
          <w:b/>
          <w:bCs/>
        </w:rPr>
        <w:t>这一年，我们统筹推进四方面工作</w:t>
      </w:r>
    </w:p>
    <w:p w14:paraId="185F6522">
      <w:pPr>
        <w:pStyle w:val="26"/>
        <w:bidi w:val="0"/>
        <w:rPr>
          <w:rFonts w:hint="eastAsia"/>
          <w:b/>
          <w:bCs/>
        </w:rPr>
      </w:pPr>
      <w:r>
        <w:rPr>
          <w:rFonts w:hint="eastAsia"/>
          <w:b/>
          <w:bCs/>
        </w:rPr>
        <w:t>一是“学思想”，把牢正确政治方向，共同思想政治基础更加稳固扎实</w:t>
      </w:r>
    </w:p>
    <w:p w14:paraId="42CA0B33">
      <w:pPr>
        <w:pStyle w:val="26"/>
        <w:bidi w:val="0"/>
        <w:rPr>
          <w:rFonts w:hint="eastAsia"/>
        </w:rPr>
      </w:pPr>
      <w:r>
        <w:rPr>
          <w:rFonts w:hint="eastAsia"/>
        </w:rPr>
        <w:t>旗帜鲜明讲政治，自觉用习近平新时代中国特色社会主义思想凝心铸魂、强基固本。</w:t>
      </w:r>
    </w:p>
    <w:p w14:paraId="57BD6D5B">
      <w:pPr>
        <w:pStyle w:val="26"/>
        <w:bidi w:val="0"/>
        <w:rPr>
          <w:rFonts w:hint="eastAsia"/>
        </w:rPr>
      </w:pPr>
      <w:r>
        <w:rPr>
          <w:rFonts w:hint="eastAsia"/>
          <w:b/>
          <w:bCs/>
        </w:rPr>
        <w:t>党的全面领导持续加强。</w:t>
      </w:r>
      <w:r>
        <w:rPr>
          <w:rFonts w:hint="eastAsia"/>
        </w:rPr>
        <w:t>市委高度重视政协工作，把方向、作部署、提要求，定期听取政协工作汇报，研究政协工作。一年来，市委、市政府领导对政协调研报告、大会发言、建议案、重要提案摘报、大会快报等批示51件次，给予政协工作强有力的指导和支持。市政协党组认真落实新时代党的建设总要求，把党的领导贯穿政协履职全过程各方面。召开党建工作专题会，深化委员功能型党支部建设，加强和改进机关党建工作，在完善组织体系、增强党组织政治功能和组织功能、发挥党员作用上持续用力。探索“党建+协商”“党建+聚识”等工作模式，推进党建工作与政协履职相融合，实现党的组织对党员委员、党的工作对政协委员“两个全覆盖”的有效提升。</w:t>
      </w:r>
    </w:p>
    <w:p w14:paraId="01BFCFE0">
      <w:pPr>
        <w:pStyle w:val="26"/>
        <w:bidi w:val="0"/>
        <w:rPr>
          <w:rFonts w:hint="eastAsia"/>
        </w:rPr>
      </w:pPr>
      <w:r>
        <w:rPr>
          <w:rFonts w:hint="eastAsia"/>
          <w:b/>
          <w:bCs/>
        </w:rPr>
        <w:t>党的理论武装走深走实。</w:t>
      </w:r>
      <w:r>
        <w:rPr>
          <w:rFonts w:hint="eastAsia"/>
        </w:rPr>
        <w:t>巩固拓展主题教育成果，深化“第一议题”制度，及时跟进学习习近平总书记最新重要讲话重要指示批示精神。坚持学思用贯通、知信行合一，推动各党派团体和各族各界人士实现思想上共同进步、行动上步调一致。以理论研究赋能政协工作，不断推进习近平总书记关于加强和改进人民政协工作的重要思想的学习研究和宣传阐释。全年开展党组理论学习中心组学习25次，主席会学习10次，常委会学习4次，以专委会为单位，召开习近平新时代中国特色社会主义思想学习座谈会21场，学懂弄通做实党的创新理论，筑牢共同团结奋斗的精神支柱。</w:t>
      </w:r>
    </w:p>
    <w:p w14:paraId="40663DA3">
      <w:pPr>
        <w:pStyle w:val="26"/>
        <w:bidi w:val="0"/>
        <w:rPr>
          <w:rFonts w:hint="eastAsia"/>
        </w:rPr>
      </w:pPr>
      <w:r>
        <w:rPr>
          <w:rFonts w:hint="eastAsia"/>
          <w:b/>
          <w:bCs/>
        </w:rPr>
        <w:t>党的纪律建设不断深化。</w:t>
      </w:r>
      <w:r>
        <w:rPr>
          <w:rFonts w:hint="eastAsia"/>
        </w:rPr>
        <w:t>深入学习贯彻习近平总书记关于加强党的纪律建设的重要论述，高站位、高标准、高质量抓实党纪学习教育。坚持融入日常、抓在经常，党组带头逐章研学、交流研讨，举办专题学习、读书班、党课、主题党日活动等56场。坚持以案促学、以案释纪、以案促治，开展警示教育8场，引导党员干部受警醒、明底线、知敬畏。各委员功能型党支部结合专委会特色，组织党员委员开展各种形式的党纪学习教育，带动政协委员履职规范和作风建设。全市政协系统全面从严治党向纵深发展，政协委员和机关干部纪律意识不断加强，风清气正的干事创业氛围日益浓厚。</w:t>
      </w:r>
    </w:p>
    <w:p w14:paraId="6354955E">
      <w:pPr>
        <w:pStyle w:val="26"/>
        <w:bidi w:val="0"/>
        <w:rPr>
          <w:rFonts w:hint="eastAsia"/>
          <w:b/>
          <w:bCs/>
        </w:rPr>
      </w:pPr>
      <w:r>
        <w:rPr>
          <w:rFonts w:hint="eastAsia"/>
          <w:b/>
          <w:bCs/>
        </w:rPr>
        <w:t>二是“搭平台”，拓展民主实践载体，践行全过程人民民主更加坚实有力</w:t>
      </w:r>
    </w:p>
    <w:p w14:paraId="20B6761F">
      <w:pPr>
        <w:pStyle w:val="26"/>
        <w:bidi w:val="0"/>
        <w:rPr>
          <w:rFonts w:hint="eastAsia"/>
        </w:rPr>
      </w:pPr>
      <w:r>
        <w:rPr>
          <w:rFonts w:hint="eastAsia"/>
        </w:rPr>
        <w:t>深刻把握专门协商机构的职能定位，善搭台、释活力、聚同心，用心书写践行全过程人民民主的厦门答卷。</w:t>
      </w:r>
    </w:p>
    <w:p w14:paraId="11D1D0A7">
      <w:pPr>
        <w:pStyle w:val="26"/>
        <w:bidi w:val="0"/>
        <w:rPr>
          <w:rFonts w:hint="eastAsia"/>
        </w:rPr>
      </w:pPr>
      <w:r>
        <w:rPr>
          <w:rFonts w:hint="eastAsia"/>
          <w:b/>
          <w:bCs/>
        </w:rPr>
        <w:t>建强“学思践悟”学习平台。</w:t>
      </w:r>
      <w:r>
        <w:rPr>
          <w:rFonts w:hint="eastAsia"/>
        </w:rPr>
        <w:t>学习是人民政协的优良传统和永恒主题。以“书香政协”为基础，常态化开展委员读书、理论学习和政治培训，打造求是学堂、名家讲堂、暑期研习班、委员社区讲堂等一系列学习品牌，拓宽政协学习工作的带动面、辐射面。一年来，面向政协委员开展学习、培训、讲座、通报会等36场，理论宣讲轻骑兵宣讲23场，社区讲堂开讲14场。广大政协委员在深化学习中增长知识、增加智慧，崇尚学习、善于学习蔚然成风，凝聚共识能力、协商议政水平和服务大局效能显著提升。</w:t>
      </w:r>
    </w:p>
    <w:p w14:paraId="193B162C">
      <w:pPr>
        <w:pStyle w:val="26"/>
        <w:bidi w:val="0"/>
        <w:rPr>
          <w:rFonts w:hint="eastAsia"/>
        </w:rPr>
      </w:pPr>
      <w:r>
        <w:rPr>
          <w:rFonts w:hint="eastAsia"/>
          <w:b/>
          <w:bCs/>
        </w:rPr>
        <w:t>建强“众事商量”协商平台。</w:t>
      </w:r>
      <w:r>
        <w:rPr>
          <w:rFonts w:hint="eastAsia"/>
        </w:rPr>
        <w:t>坚持有事好商量，众人的事情由众人商量，突出专门协商机构主责主业。发挥政协作为实行新型政党制度的重要政治形式和组织形式作用，为各民主党派、工商联、无党派人士和人民团体在政协参政议政提供广阔舞台。一年来，党派团体提交集体提案205件，提交调研报告、专题协商发言211篇，反映社情民意信息2170条，许多意见建议得到重视采纳，为厦门改革发展注入新动能。健全委员联系点制度机制，拓宽委员参与基层协商通道，推动政协协商向基层延伸。依托界别委员联系点、各区好商量工作室、委员联络站等，聚焦基层社会治理难点、公共服务堵点，把协商开到百姓家门口。集美区6个镇（街）全部设立委员活动室，政协委员下沉一线，“近邻协商”成为基层治理“新风尚”。</w:t>
      </w:r>
    </w:p>
    <w:p w14:paraId="3DCF944D">
      <w:pPr>
        <w:pStyle w:val="26"/>
        <w:bidi w:val="0"/>
        <w:rPr>
          <w:rFonts w:hint="eastAsia"/>
        </w:rPr>
      </w:pPr>
      <w:r>
        <w:rPr>
          <w:rFonts w:hint="eastAsia"/>
        </w:rPr>
        <w:t>建强“凝心向党”聚识平台。把握团结的规律、提高团结的本领、增强团结的艺术。健全完善与党派团体的沟通交流机制，进一步凝聚思想共识。以铸牢中华民族共同体意识为主线，坚持我国宗教中国化方向，聚焦发挥宗教及民间信仰积极作用等开展专题研究，促进民族和睦、宗教和顺、社会和谐。赴港澳开展团结联谊活动，专题调研厦港澳会展旅游业合作，组织港澳台委员及特邀人士内地行活动，在密切交流、深度合作中发展壮大爱国爱港爱澳力量，港澳委员满腔热情参政议政，“双重积极作用”得到充分发挥。纪念陈嘉庚诞辰150周年，做深以侨引侨、以侨聚侨工作，邀请海外侨胞考察对外开放与国际交流项目，举办“在厦留学生看厦门”主题活动，助力画好强国建设、民族复兴最大同心圆。</w:t>
      </w:r>
    </w:p>
    <w:p w14:paraId="6BCABA95">
      <w:pPr>
        <w:pStyle w:val="26"/>
        <w:bidi w:val="0"/>
        <w:rPr>
          <w:rFonts w:hint="eastAsia"/>
        </w:rPr>
      </w:pPr>
      <w:r>
        <w:rPr>
          <w:rFonts w:hint="eastAsia"/>
        </w:rPr>
        <w:t>建强“爱心惠民”服务平台。主动融入“为闽协商，为民服务”品牌矩阵。各专委会、界别活动小组、区政协加强组织引导，鼓励、支持委员发挥资源和专业优势，持续开展委员履职“服务为民”活动，听民意、聚民智、惠民生，推动解决交通出行、法律援助、食品安全、垃圾分类等群众关心关注的问题。建好“鹭力同心”委员联系点，探索委员联系界别群众特色路径，相关经验在全省市县政协主席工作座谈会上作典型发言。一年来，各级各界委员联系点开展为民活动600余场，收集微建议500余条。</w:t>
      </w:r>
    </w:p>
    <w:p w14:paraId="530366E3">
      <w:pPr>
        <w:pStyle w:val="26"/>
        <w:bidi w:val="0"/>
        <w:rPr>
          <w:rFonts w:hint="eastAsia"/>
        </w:rPr>
      </w:pPr>
      <w:r>
        <w:rPr>
          <w:rFonts w:hint="eastAsia"/>
        </w:rPr>
        <w:t>建强“智慧赋能”支撑平台。持续推动政协工作信息化，积极探索履职服务智能化。打造提案提交处理、社情民意收集、委员履职管理等多功能数字化空间，完善网络议政、宣传报道、大数据分析一体化云平台。委员在线接收履职通知、提交“履职作业”、查看履职情况，线上履职更便捷。全年线上发布履职活动341场，组织开展远程协商7场，智能化服务更高效。通过履职平台、官方网站、微信公众号展现委员履职风采，讲好新时代政协故事，全年发布宣传报道、信息超800篇，网络宣传更出彩。</w:t>
      </w:r>
    </w:p>
    <w:p w14:paraId="5A19849E">
      <w:pPr>
        <w:pStyle w:val="26"/>
        <w:bidi w:val="0"/>
        <w:rPr>
          <w:rFonts w:hint="eastAsia"/>
          <w:b/>
          <w:bCs/>
        </w:rPr>
      </w:pPr>
      <w:r>
        <w:rPr>
          <w:rFonts w:hint="eastAsia"/>
          <w:b/>
          <w:bCs/>
        </w:rPr>
        <w:t>三是“善履职”，践行团结奋斗要求，服务中国式现代化更加担当有为</w:t>
      </w:r>
    </w:p>
    <w:p w14:paraId="6058969A">
      <w:pPr>
        <w:pStyle w:val="26"/>
        <w:bidi w:val="0"/>
        <w:rPr>
          <w:rFonts w:hint="eastAsia"/>
        </w:rPr>
      </w:pPr>
      <w:r>
        <w:rPr>
          <w:rFonts w:hint="eastAsia"/>
        </w:rPr>
        <w:t>自觉把政协工作放在全市发展大局中谋划推进，紧扣改革发展稳定重要任务，聚人心、集众智、献良策。</w:t>
      </w:r>
    </w:p>
    <w:p w14:paraId="19351075">
      <w:pPr>
        <w:pStyle w:val="26"/>
        <w:bidi w:val="0"/>
        <w:rPr>
          <w:rFonts w:hint="eastAsia"/>
        </w:rPr>
      </w:pPr>
      <w:r>
        <w:rPr>
          <w:rFonts w:hint="eastAsia"/>
        </w:rPr>
        <w:t>围绕生态文明建设建真言。深入学习贯彻习近平生态文明思想，围绕“传承弘扬筼筜湖治理经验，持续提升海洋生态修复”协商议政，市委主要领导与委员共商良策、共谋发展，充分肯定委员履职成效，共同深化拓展生态文明建设“厦门实践”。举办“走进厦门美丽海湾”专题论坛，组织“近岸海域综合治理”重点视察，助力美丽中国样板城市取得新成效。湖里区政协围绕中央环保督察问题整改开展协商式民主监督，更好地把人民政协制度优势转化为治理效能。</w:t>
      </w:r>
    </w:p>
    <w:p w14:paraId="1E763C26">
      <w:pPr>
        <w:pStyle w:val="26"/>
        <w:bidi w:val="0"/>
        <w:rPr>
          <w:rFonts w:hint="eastAsia"/>
        </w:rPr>
      </w:pPr>
      <w:r>
        <w:rPr>
          <w:rFonts w:hint="eastAsia"/>
        </w:rPr>
        <w:t>立足经济高质量发展添助力。增强政协服务经济高质量发展的责任感和使命感，围绕我市经济结构调整、转型升级，引导政协委员和社会各界统一思想、坚定信心。召开“前瞻布局未来产业，加快发展新质生产力”议政性常委会会议，群策群力，助推产业向新而行、以新提质。聚焦重大重点项目建设、招商引资、提振消费等重要议题发挥政协优势，助力我市经济回稳向好、结构优化升级。着眼打造市场化、法治化、国际化一流营商环境，就生产性服务业整体跃升、强化企业创新主体地位、探索数据要素市场化等深入调查研究、深度协商议政，助力我市跑出高质量发展加速度。</w:t>
      </w:r>
    </w:p>
    <w:p w14:paraId="00E4898E">
      <w:pPr>
        <w:pStyle w:val="26"/>
        <w:bidi w:val="0"/>
        <w:rPr>
          <w:rFonts w:hint="eastAsia"/>
        </w:rPr>
      </w:pPr>
      <w:r>
        <w:rPr>
          <w:rFonts w:hint="eastAsia"/>
        </w:rPr>
        <w:t>锚定两岸融合发展聚合力。着力两岸交流合作，探索两岸融合发展新路。增补台商委员，邀请在厦台胞代表列席政协会议，开展“让政协走进台胞，让台胞走进政协”专项活动，增进台胞对全过程人民民主的了解和认同。就深化两岸经贸交流合作广泛协商议政，为两岸经济融合、社会融合、情感融合鼓与呼。助推台青基地建设，关注关心台湾青年来厦求学、就业和生活，助力打造台胞台企登陆第一家园的“第一站”。思明区政协主办的“两岸有戏”海峡两岸青少年戏迷交流体验营和摄影展系列活动，探索两岸文化交流新渠道，获得央媒和社会各界的广泛关注。</w:t>
      </w:r>
    </w:p>
    <w:p w14:paraId="3B888B0E">
      <w:pPr>
        <w:pStyle w:val="26"/>
        <w:bidi w:val="0"/>
        <w:rPr>
          <w:rFonts w:hint="eastAsia"/>
        </w:rPr>
      </w:pPr>
      <w:r>
        <w:rPr>
          <w:rFonts w:hint="eastAsia"/>
        </w:rPr>
        <w:t>紧扣提高人民生活品质谋良策。紧盯重点民生关切。开展“新就业形态劳动者权益保障”协商式民主监督，力促相关政策机制更加完善、服务保障更加健全。围绕互联网订餐安全监管、建设高水平健康之城等开展重点提案办理监督，着眼发展康复事业、促进康养结合、健全分层分类社会救助体系等开展协商议政。聚焦重点群体对象。推动中小学午休硬件设施完善，力促学生逐步实现从“趴睡”到“躺睡”，深化“牵手关爱青少年”品牌建设，持续关注青少年身心健康。围绕社区长者食堂可持续发展、大力发展老年教育等开展提案办理、反映社情民意信息，助力构筑老年人幸福生活。以高质量履职为民生幸福“加码”。</w:t>
      </w:r>
    </w:p>
    <w:p w14:paraId="187FF7B8">
      <w:pPr>
        <w:pStyle w:val="26"/>
        <w:bidi w:val="0"/>
        <w:rPr>
          <w:rFonts w:hint="eastAsia"/>
        </w:rPr>
      </w:pPr>
      <w:r>
        <w:rPr>
          <w:rFonts w:hint="eastAsia"/>
        </w:rPr>
        <w:t>着眼文化传承发展出实招。市政协文史馆开馆，生动再现市政协各参加单位、广大政协委员和各级政协组织凝心聚力、砥砺前行的光辉历程和优秀成果，成为团结和凝聚各界人士的新阵地，接待省内外访客超50批次，“人民政协的厦门实践”广受点赞。《厦门老字号》等文史专辑编辑出版，加深老厦门记忆，存史资政、以文化人功能进一步彰显。“文史沙龙”围绕传承“嘉庚精神”等主题举办讲座12场，文史文博研学活动走进校园13场，以文育人、以文铸魂作用进一步凸显。同安区政协充分挖掘历史文化底蕴，大力弘扬苏颂科学精神，为提高学生科学素养履职建言。</w:t>
      </w:r>
    </w:p>
    <w:p w14:paraId="00AD8A8F">
      <w:pPr>
        <w:pStyle w:val="26"/>
        <w:bidi w:val="0"/>
        <w:rPr>
          <w:rFonts w:hint="eastAsia"/>
          <w:b/>
          <w:bCs/>
        </w:rPr>
      </w:pPr>
      <w:r>
        <w:rPr>
          <w:rFonts w:hint="eastAsia"/>
          <w:b/>
          <w:bCs/>
        </w:rPr>
        <w:t>四是“强作风”，提升政协履职质效，专门协商机构建设更加健全完善</w:t>
      </w:r>
    </w:p>
    <w:p w14:paraId="6AB1EAAD">
      <w:pPr>
        <w:pStyle w:val="26"/>
        <w:bidi w:val="0"/>
        <w:rPr>
          <w:rFonts w:hint="eastAsia"/>
        </w:rPr>
      </w:pPr>
      <w:r>
        <w:rPr>
          <w:rFonts w:hint="eastAsia"/>
        </w:rPr>
        <w:t>坚持守正创新、务实求效，以改革创新精神推进履职能力建设，人民政协事业取得新发展。</w:t>
      </w:r>
    </w:p>
    <w:p w14:paraId="5A2D5D83">
      <w:pPr>
        <w:pStyle w:val="26"/>
        <w:bidi w:val="0"/>
        <w:rPr>
          <w:rFonts w:hint="eastAsia"/>
        </w:rPr>
      </w:pPr>
      <w:r>
        <w:rPr>
          <w:rFonts w:hint="eastAsia"/>
        </w:rPr>
        <w:t>破解“两个薄弱”，夯实政协工作基础。市委高度重视解决基层政协“两个薄弱”问题。市政协对标新时代人民政协新方位新使命新要求，全面梳理短板弱项，与区政协共同研究、共同答题。在解决人员力量薄弱问题上，各区探索行政编制周转池机制，有效充实区政协行政队伍力量，并采取统筹调剂等方式，建强区政协事业干部队伍。在解决工作基础薄弱问题上，健全运行和管理制度，落实协商工作规则，规范履职活动和民主程序。翔安区政协创新实施“协商质量评价办法”，实现协商议政质量可量化、可视化，促进协商“活起来”“强起来”。</w:t>
      </w:r>
    </w:p>
    <w:p w14:paraId="573C954B">
      <w:pPr>
        <w:pStyle w:val="26"/>
        <w:bidi w:val="0"/>
        <w:rPr>
          <w:rFonts w:hint="eastAsia"/>
        </w:rPr>
      </w:pPr>
      <w:r>
        <w:rPr>
          <w:rFonts w:hint="eastAsia"/>
        </w:rPr>
        <w:t>创新履职品牌，推动工作提质增效。以高质量品牌建设实现高质量履职，形成“一委一品”“一区一特”履职品牌矩阵。紧扣中心，“季谈会”“共话经纬”“委员群众一席谈”等围绕党委、政府工作重点广集众智，服务发展更具实效。秉持匠心，总结经验做法、创新形式方法，特色品牌竞相迸发，海沧区政协深耕“月聚交流”品牌，凝聚共识更有广度、建言资政更有深度。坚持恒心，“委员话环保”经过多年探索和实践，形成有影响力的履职品牌，得到《中国政协》杂志的关注和报道。全国暨地方政协社会和法制委员会工作座谈会在厦门召开，厦门经验和厦门特色深受好评。</w:t>
      </w:r>
    </w:p>
    <w:p w14:paraId="75C395C7">
      <w:pPr>
        <w:pStyle w:val="26"/>
        <w:bidi w:val="0"/>
        <w:rPr>
          <w:rFonts w:hint="eastAsia"/>
        </w:rPr>
      </w:pPr>
      <w:r>
        <w:rPr>
          <w:rFonts w:hint="eastAsia"/>
        </w:rPr>
        <w:t>提升“两支队伍”，涵养奋发有为精气神。着力打造一支担当作为的高素质政协委员队伍。发挥政协委员主体作用，坚持加强管理与优化服务结合、表扬激励与纪律约束并重，完善委员培训、履职考核、知情明政等制度机制，2024年度委员履职平均分较上一年提升了15分。着力打造一支堪当重任的高素质干部队伍。深化拓展“深学争优、敢为争先、实干争效”行动，扎实推进全国文明单位创建和模范机关建设，强化教育培训、实践历练，激励政协机关干部勇于担当、积极作为。</w:t>
      </w:r>
    </w:p>
    <w:p w14:paraId="37938C32">
      <w:pPr>
        <w:pStyle w:val="26"/>
        <w:bidi w:val="0"/>
        <w:rPr>
          <w:rFonts w:hint="eastAsia"/>
        </w:rPr>
      </w:pPr>
      <w:r>
        <w:rPr>
          <w:rFonts w:hint="eastAsia"/>
        </w:rPr>
        <w:t>各位委员、同志们！这些成绩的取得，是习近平新时代中国特色社会主义思想科学指引的结果，是中共厦门市委正确领导的结果，是市人大、市政府和社会各界鼎力支持的结果，凝聚着市政协各参加单位、广大政协委员和全市各级政协组织的智慧和力量。在此，我代表市政协常委会向大家表示衷心的感谢和崇高的敬意！</w:t>
      </w:r>
    </w:p>
    <w:p w14:paraId="2B618920">
      <w:pPr>
        <w:pStyle w:val="26"/>
        <w:bidi w:val="0"/>
        <w:rPr>
          <w:rFonts w:hint="eastAsia"/>
        </w:rPr>
      </w:pPr>
      <w:r>
        <w:rPr>
          <w:rFonts w:hint="eastAsia"/>
        </w:rPr>
        <w:t>同时，我们也清醒看到工作中存在的问题和不足，主要有团结引领机制有待加强，民主监督实践仍需探索，深度协商互动、意见充分表达、广泛凝聚共识的水平有待进一步提高等等。这些都需要在新一年的履职中切实加以改进。</w:t>
      </w:r>
    </w:p>
    <w:p w14:paraId="0BC665DE">
      <w:pPr>
        <w:pStyle w:val="13"/>
        <w:rPr>
          <w:rFonts w:hint="eastAsia"/>
        </w:rPr>
      </w:pPr>
    </w:p>
    <w:p w14:paraId="45B82A1B">
      <w:pPr>
        <w:pStyle w:val="26"/>
        <w:bidi w:val="0"/>
        <w:jc w:val="center"/>
        <w:rPr>
          <w:rFonts w:hint="eastAsia"/>
          <w:b/>
          <w:bCs/>
        </w:rPr>
      </w:pPr>
      <w:r>
        <w:rPr>
          <w:rFonts w:hint="eastAsia"/>
          <w:b/>
          <w:bCs/>
        </w:rPr>
        <w:t>2025年工作思路</w:t>
      </w:r>
    </w:p>
    <w:p w14:paraId="1DCCBBD7">
      <w:pPr>
        <w:pStyle w:val="26"/>
        <w:bidi w:val="0"/>
        <w:rPr>
          <w:rFonts w:hint="eastAsia"/>
        </w:rPr>
      </w:pPr>
      <w:r>
        <w:rPr>
          <w:rFonts w:hint="eastAsia"/>
        </w:rPr>
        <w:t>2025年是“十四五”规划收官、“十五五”规划谋划之年，也是厦门努力率先实现社会主义现代化的关键一年。我们要坚持以习近平新时代中国特色社会主义思想为指导，深入学习贯彻中共二十大和二十届二中、三中全会精神，全面贯彻落实习近平总书记在福建、厦门考察时的重要讲话精神，在中共厦门市委的领导下，锚定新定位、勇担新使命，充分发挥专门协商机构作用，深入践行全过程人民民主，为中国式现代化探索试验、探路先行作出新贡献。</w:t>
      </w:r>
    </w:p>
    <w:p w14:paraId="7DCBD598">
      <w:pPr>
        <w:pStyle w:val="26"/>
        <w:bidi w:val="0"/>
        <w:rPr>
          <w:rFonts w:hint="eastAsia"/>
          <w:b/>
          <w:bCs/>
        </w:rPr>
      </w:pPr>
      <w:r>
        <w:rPr>
          <w:rFonts w:hint="eastAsia"/>
          <w:b/>
          <w:bCs/>
        </w:rPr>
        <w:t>一、坚持党的全面领导，在加强思想政治引领上实现新提升</w:t>
      </w:r>
    </w:p>
    <w:p w14:paraId="5A9B1C02">
      <w:pPr>
        <w:pStyle w:val="26"/>
        <w:bidi w:val="0"/>
        <w:rPr>
          <w:rFonts w:hint="eastAsia"/>
        </w:rPr>
      </w:pPr>
      <w:r>
        <w:rPr>
          <w:rFonts w:hint="eastAsia"/>
        </w:rPr>
        <w:t>深入学习贯彻习近平总书记关于加强和改进人民政协工作的重要思想，全面贯彻落实习近平总书记在庆祝中国人民政治协商会议成立75周年大会上的重要讲话精神，认真落实省委、市委政协工作会议要求。坚持党的领导、统一战线、协商民主有机结合，发挥重要阵地、重要平台、重要渠道作用，打牢坚定拥护“两个确立”、坚决做到“两个维护”的思想根基，团结引导社会各界共同为实现习近平总书记为厦门擘画的宏伟蓝图而努力奋斗。持续深化政协党的各项建设，着力形成以党建促履职、增团结、带队伍的良好局面。探索更多“党建+”创新机制，扎实推进委员功能型党支部和机关党组织建设，以高水平党建引领政协事业高质量发展。</w:t>
      </w:r>
    </w:p>
    <w:p w14:paraId="1B71DA26">
      <w:pPr>
        <w:pStyle w:val="26"/>
        <w:bidi w:val="0"/>
        <w:rPr>
          <w:rFonts w:hint="eastAsia"/>
          <w:b/>
          <w:bCs/>
        </w:rPr>
      </w:pPr>
      <w:r>
        <w:rPr>
          <w:rFonts w:hint="eastAsia"/>
          <w:b/>
          <w:bCs/>
        </w:rPr>
        <w:t>二、聚焦发展首要任务，在围绕中心服务大局上作出新贡献</w:t>
      </w:r>
    </w:p>
    <w:p w14:paraId="262BEB86">
      <w:pPr>
        <w:pStyle w:val="26"/>
        <w:bidi w:val="0"/>
        <w:rPr>
          <w:rFonts w:hint="eastAsia"/>
        </w:rPr>
      </w:pPr>
      <w:r>
        <w:rPr>
          <w:rFonts w:hint="eastAsia"/>
        </w:rPr>
        <w:t>对标为中国式现代化探索试验、探路先行的目标要求，按照省委、市委明确的重点任务，精心选题、精深调研、精准建言。紧扣纵深推进综合改革试点、深化拓展重点领域改革、持续推进营商环境改善等重要任务建言资政，为全面深化改革添助力、增合力。聚焦深入实施科技创新引领工程、加快构建现代化产业体系、推进教育科技人才体制机制一体改革等开展调研、协商、监督，助力经济高质量发展。围绕打造新发展格局节点城市、加快建设国际性综合交通枢纽、稳步推进制度型开放等，提出更多建设性意见建议，助力扩大高水平对外开放。着眼编制“十五五”规划、建设两岸融合发展示范区、实施区域协调发展战略、推进生态文明建设、激发民营经济发展活力动力等重要议题，广泛汇聚社会各界的智慧和力量。</w:t>
      </w:r>
    </w:p>
    <w:p w14:paraId="756D5957">
      <w:pPr>
        <w:pStyle w:val="26"/>
        <w:bidi w:val="0"/>
        <w:rPr>
          <w:rFonts w:hint="eastAsia"/>
          <w:b/>
          <w:bCs/>
        </w:rPr>
      </w:pPr>
      <w:r>
        <w:rPr>
          <w:rFonts w:hint="eastAsia"/>
          <w:b/>
          <w:bCs/>
        </w:rPr>
        <w:t>三、践行为民履职理念，在提高人民生活品质上彰显新担当</w:t>
      </w:r>
    </w:p>
    <w:p w14:paraId="1D3E7489">
      <w:pPr>
        <w:pStyle w:val="26"/>
        <w:bidi w:val="0"/>
        <w:rPr>
          <w:rFonts w:hint="eastAsia"/>
        </w:rPr>
      </w:pPr>
      <w:r>
        <w:rPr>
          <w:rFonts w:hint="eastAsia"/>
        </w:rPr>
        <w:t>坚持人民政协为人民，把不断满足人民对美好生活的需要、促进民生改善作为履职重要着力点。围绕稳就业促增收、扩大公共服务供给、跨岛发展、城乡规划建设、基层社会治理等民之关切领域，建真言、献良策、出实招。围绕城市交通堵点、旅游品质提升、“无陪护”医院建设、智慧医疗、卫体融合发展、养老育幼服务等难点热点问题汇智聚力，让现代化建设成果更多更公平惠及人民群众。持续关注重点困难群体，深化“爱心厦门·政协行”品牌建设。完善委员联系界别群众制度机制，持续推动政协工作下沉、重心下移，引导政协委员走进基层、走进群众，及时反映意见建议，更好地知民情、解民忧、暖民心。</w:t>
      </w:r>
    </w:p>
    <w:p w14:paraId="2607744C">
      <w:pPr>
        <w:pStyle w:val="26"/>
        <w:bidi w:val="0"/>
        <w:rPr>
          <w:rFonts w:hint="eastAsia"/>
          <w:b/>
          <w:bCs/>
        </w:rPr>
      </w:pPr>
      <w:r>
        <w:rPr>
          <w:rFonts w:hint="eastAsia"/>
          <w:b/>
          <w:bCs/>
        </w:rPr>
        <w:t>四、拓展团结联谊格局，在凝聚人心汇聚力量上展现新作为</w:t>
      </w:r>
    </w:p>
    <w:p w14:paraId="768BFB91">
      <w:pPr>
        <w:pStyle w:val="26"/>
        <w:bidi w:val="0"/>
        <w:rPr>
          <w:rFonts w:hint="eastAsia"/>
        </w:rPr>
      </w:pPr>
      <w:r>
        <w:rPr>
          <w:rFonts w:hint="eastAsia"/>
        </w:rPr>
        <w:t>始终把加强思想政治引领、广泛凝聚共识作为履职工作的中心环节。积极为各民主党派、工商联和无党派人士在政协更好发挥作用创造条件，密切与党外知识分子、少数民族人士、宗教界人士、非公有制经济人士、新的社会阶层人士的沟通交流，畅通意见诉求表达渠道。积极服务两岸经贸合作、文化交流，共同弘扬中华文化，增进台湾同胞的民族认同、文化认同、国家认同。密切与港澳地区政协委员、相关组织和社会团体联系，促进厦港澳交流合作。发挥厦门作为重点侨乡的优势，传承弘扬“嘉庚精神”，讲好中华民族故事，依托宗亲乡亲、祖地文化等纽带广泛凝聚侨心，最大限度扩大团结面、画好同心圆。</w:t>
      </w:r>
    </w:p>
    <w:p w14:paraId="21B52894">
      <w:pPr>
        <w:pStyle w:val="26"/>
        <w:bidi w:val="0"/>
        <w:rPr>
          <w:rFonts w:hint="eastAsia"/>
          <w:b/>
          <w:bCs/>
        </w:rPr>
      </w:pPr>
      <w:r>
        <w:rPr>
          <w:rFonts w:hint="eastAsia"/>
          <w:b/>
          <w:bCs/>
        </w:rPr>
        <w:t>五、推进协商民主建设，在提升专门协商机构效能上取得新进展</w:t>
      </w:r>
    </w:p>
    <w:p w14:paraId="03D26556">
      <w:pPr>
        <w:pStyle w:val="26"/>
        <w:bidi w:val="0"/>
        <w:rPr>
          <w:rFonts w:hint="eastAsia"/>
        </w:rPr>
      </w:pPr>
      <w:r>
        <w:rPr>
          <w:rFonts w:hint="eastAsia"/>
        </w:rPr>
        <w:t>坚持以改革创新的精神推进履职能力建设。深刻认识社会主义协商民主的独特优势，加强政协协商同其他协商形式的协同配合，推动完善协商民主体系。创新“三项机制”建设，健全深度协商互动、意见充分表达、广泛凝聚共识的机制，加强反映社情民意、联系群众、服务人民机制建设，完善民主监督机制。积极培育协商民主文化，创新厦门政协新时代协商民主实践中心、委员联系点等平台载体，让更多群众“走进政协，感悟中国式协商民主”。进一步发挥专委会基础性作用，抓实调研、提案、反映社情民意信息、大会发言、民主监督等经常性工作，加强对界别活动的联系、服务和指导。强化各级政协上下联动、横向协同，不断提升协商合力、增强履职实效。</w:t>
      </w:r>
    </w:p>
    <w:p w14:paraId="326CE1F2">
      <w:pPr>
        <w:pStyle w:val="26"/>
        <w:bidi w:val="0"/>
        <w:rPr>
          <w:rFonts w:hint="eastAsia"/>
        </w:rPr>
      </w:pPr>
      <w:r>
        <w:rPr>
          <w:rFonts w:hint="eastAsia"/>
        </w:rPr>
        <w:t>各位委员，政协委员是人民政协履职的主体。建设一支“懂政协、会协商、善议政，守纪律、讲规矩、重品行”的政协委员队伍，是人民政协高质量履职的重要保障。希望广大委员珍视政治身份，不断锤炼政治品格、政治能力，勤学习、善钻研，着力提高思想认识水平和履职本领，以更加奋发有为的精神状态投身凝心聚力、决策咨询、协商民主、国家治理第一线的具体实践。</w:t>
      </w:r>
    </w:p>
    <w:p w14:paraId="706ADAEA">
      <w:pPr>
        <w:pStyle w:val="26"/>
        <w:bidi w:val="0"/>
        <w:rPr>
          <w:rFonts w:hint="eastAsia"/>
        </w:rPr>
      </w:pPr>
      <w:r>
        <w:rPr>
          <w:rFonts w:hint="eastAsia"/>
        </w:rPr>
        <w:t>各位委员、同志们，潮平岸阔催人进，风起扬帆正当时。让我们更加紧密地团结在以习近平同志为核心的中共中央周围，在中共厦门市委的正确领导下，充分发挥人民政协在发展全过程人民民主中的重要作用，同心同德、开拓进取，为厦门在中国式现代化建设中奋勇争先作出政协新的更大贡献！</w:t>
      </w:r>
    </w:p>
    <w:p w14:paraId="1EDB247D">
      <w:pPr>
        <w:pStyle w:val="13"/>
        <w:rPr>
          <w:rFonts w:hint="eastAsia"/>
        </w:rPr>
      </w:pPr>
    </w:p>
    <w:p w14:paraId="257A48B0">
      <w:pPr>
        <w:pStyle w:val="13"/>
        <w:rPr>
          <w:rFonts w:hint="eastAsia"/>
        </w:rPr>
      </w:pPr>
    </w:p>
    <w:p w14:paraId="55ECCA85">
      <w:pPr>
        <w:pStyle w:val="26"/>
        <w:bidi w:val="0"/>
        <w:rPr>
          <w:rFonts w:hint="eastAsia" w:eastAsia="宋体" w:asciiTheme="minorHAnsi" w:hAnsiTheme="minorHAnsi" w:cstheme="minorBidi"/>
          <w:b/>
          <w:color w:val="000000" w:themeColor="text1"/>
          <w:kern w:val="2"/>
          <w:sz w:val="32"/>
          <w:szCs w:val="22"/>
          <w:lang w:val="en-US" w:eastAsia="zh-CN" w:bidi="ar-SA"/>
        </w:rPr>
      </w:pPr>
    </w:p>
    <w:p w14:paraId="2F26D12C">
      <w:pPr>
        <w:pStyle w:val="26"/>
        <w:bidi w:val="0"/>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中国人民政治协商会议第十四届厦门市委员会第四次会议决议</w:t>
      </w:r>
    </w:p>
    <w:p w14:paraId="55C254BE">
      <w:pPr>
        <w:pStyle w:val="26"/>
        <w:bidi w:val="0"/>
        <w:rPr>
          <w:rFonts w:hint="eastAsia" w:eastAsia="宋体" w:asciiTheme="minorHAnsi" w:hAnsiTheme="minorHAnsi" w:cstheme="minorBidi"/>
          <w:b/>
          <w:bCs w:val="0"/>
          <w:color w:val="000000" w:themeColor="text1"/>
          <w:kern w:val="2"/>
          <w:sz w:val="32"/>
          <w:szCs w:val="22"/>
          <w:lang w:val="en-US" w:eastAsia="zh-CN" w:bidi="ar-SA"/>
        </w:rPr>
      </w:pPr>
      <w:r>
        <w:rPr>
          <w:rFonts w:hint="eastAsia" w:eastAsia="宋体" w:asciiTheme="minorHAnsi" w:hAnsiTheme="minorHAnsi" w:cstheme="minorBidi"/>
          <w:b/>
          <w:bCs w:val="0"/>
          <w:color w:val="000000" w:themeColor="text1"/>
          <w:kern w:val="2"/>
          <w:sz w:val="32"/>
          <w:szCs w:val="22"/>
          <w:lang w:val="en-US" w:eastAsia="zh-CN" w:bidi="ar-SA"/>
        </w:rPr>
        <w:t>2025年1月21日政协第十四届厦门市委员会第四次会议通过</w:t>
      </w:r>
    </w:p>
    <w:p w14:paraId="45184D68">
      <w:pPr>
        <w:pStyle w:val="26"/>
        <w:bidi w:val="0"/>
        <w:rPr>
          <w:rFonts w:hint="eastAsia"/>
        </w:rPr>
      </w:pPr>
      <w:r>
        <w:rPr>
          <w:rFonts w:hint="eastAsia"/>
        </w:rPr>
        <w:t>中国人民政治协商会议第十四届厦门市委员会第四次会议，于2025年1月19日至21日举行。</w:t>
      </w:r>
    </w:p>
    <w:p w14:paraId="5D1F3E62">
      <w:pPr>
        <w:pStyle w:val="26"/>
        <w:bidi w:val="0"/>
        <w:rPr>
          <w:rFonts w:hint="eastAsia"/>
        </w:rPr>
      </w:pPr>
      <w:r>
        <w:rPr>
          <w:rFonts w:hint="eastAsia"/>
        </w:rPr>
        <w:t>这次会议是在全市上下全面贯彻落实中共二十届三中全会精神和习近平总书记在福建、厦门考察时的重要讲话精神，在中国式现代化建设中奋勇争先的关键时期召开的一次重要会议。中共厦门市委书记崔永辉、市长伍斌等领导同志出席会议，听取大会发言，参与分组讨论，看望港澳台委员及境外特邀人士，与委员共谋高质量发展良策，共商我市努力率先实现社会主义现代化大计。</w:t>
      </w:r>
    </w:p>
    <w:p w14:paraId="7CC6508D">
      <w:pPr>
        <w:pStyle w:val="26"/>
        <w:bidi w:val="0"/>
        <w:rPr>
          <w:rFonts w:hint="eastAsia"/>
        </w:rPr>
      </w:pPr>
      <w:r>
        <w:rPr>
          <w:rFonts w:hint="eastAsia"/>
        </w:rPr>
        <w:t>会议审议通过魏克良同志代表十四届市政协常委会所作的工作报告，审议通过黄国彬同志所作的提案工作情况报告。会议选举张国旺同志为市政协主席，选举林重阳同志为市政协副主席，选举钟伟东同志为市政协秘书长并增选4名常委。委员们列席市十六届人大五次会议，听取并讨论市政府工作报告，听取并讨论市法院、市检察院工作报告及其他报告，表示赞同并提出意见建议。全体委员以高度的政治责任感和强烈的历史使命感，通过大会发言、分组讨论、提交提案、反映社情民意信息等方式深入协商议政、积极建言献策、广泛凝聚共识。会议务实高效、风清气正，体现了专门协商机构的优势作用，彰显了全过程人民民主的生机活力，是一次高举旗帜、凝心聚力、团结奋进的大会。</w:t>
      </w:r>
    </w:p>
    <w:p w14:paraId="2535A5C4">
      <w:pPr>
        <w:pStyle w:val="26"/>
        <w:bidi w:val="0"/>
        <w:rPr>
          <w:rFonts w:hint="eastAsia"/>
        </w:rPr>
      </w:pPr>
      <w:r>
        <w:rPr>
          <w:rFonts w:hint="eastAsia"/>
        </w:rPr>
        <w:t>会议认为，2024年是新中国及人民政协成立75周年，也是厦门发展历程中具有里程碑意义的一年。中共二十届三中全会胜利召开，拉开了进一步全面深化改革的大幕。习近平总书记到福建、厦门考察，再次为厦门改革发展把脉定向、指路引航。中共厦门市委十三届八次全会对厦门市深入学习贯彻习近平总书记在福建、厦门考察时的重要讲话精神，在中国式现代化建设中奋勇争先作出全面部署。在中共厦门市委的有力领导下，全市各界坚定不移沿着习近平总书记指引的方向，认真贯彻落实中共中央决策部署和省委、市委工作要求，保持定力、锐意进取，扭住目标不放松，一张蓝图绘到底，推动厦门努力率先实现社会主义现代化取得新进展新成效。市政府工作报告站位高远、求真务实，总结工作全面客观，提出目标切实可行，部署任务措施有力，切合厦门实际、顺应群众期待，体现了新形势新要求，展现了新气象新作为。</w:t>
      </w:r>
    </w:p>
    <w:p w14:paraId="0C01985E">
      <w:pPr>
        <w:pStyle w:val="26"/>
        <w:bidi w:val="0"/>
        <w:rPr>
          <w:rFonts w:hint="eastAsia"/>
        </w:rPr>
      </w:pPr>
      <w:r>
        <w:rPr>
          <w:rFonts w:hint="eastAsia"/>
        </w:rPr>
        <w:t>会议认为，过去一年，十四届市政协及其常委会坚持以习近平新时代中国特色社会主义思想为指导，深入学习贯彻习近平总书记在庆祝中国人民政治协商会议成立75周年大会上和在福建、厦门考察时的重要讲话精神，全面贯彻落实省委、市委政协工作会议精神，坚持党的领导、统一战线、协商民主有机结合，紧扣中心履职尽责，持续深化“学思想、搭平台、善履职、强作风”思路举措，共同思想政治基础更加稳固扎实，践行全过程人民民主更加坚实有力，服务中国式现代化更加担当有为，专门协商机构建设更加健全完善，我市政协事业取得了新进步、开创了新局面。</w:t>
      </w:r>
    </w:p>
    <w:p w14:paraId="1F505582">
      <w:pPr>
        <w:pStyle w:val="26"/>
        <w:bidi w:val="0"/>
        <w:rPr>
          <w:rFonts w:hint="eastAsia"/>
        </w:rPr>
      </w:pPr>
      <w:r>
        <w:rPr>
          <w:rFonts w:hint="eastAsia"/>
        </w:rPr>
        <w:t>会议强调，2025年是“十四五”规划收官、“十五五”规划谋划之年，也是厦门努力率先实现社会主义现代化的关键一年。市政协要坚持以习近平新时代中国特色社会主义思想为指导，深入贯彻落实习近平总书记重要讲话重要指示批示精神，认真落实中共厦门市委全会、市委政协工作会议精神，锚定新定位、勇担新使命，聚焦为中国式现代化探索试验、探路先行目标要求，广泛多层协商，积极建言献策，充分发挥人民政协专门协商机构作用，深入践行全过程人民民主，为厦门进一步全面深化改革、全方位推动高质量发展凝聚共识、汇聚力量。</w:t>
      </w:r>
    </w:p>
    <w:p w14:paraId="2098C43E">
      <w:pPr>
        <w:pStyle w:val="26"/>
        <w:bidi w:val="0"/>
        <w:rPr>
          <w:rFonts w:hint="eastAsia"/>
        </w:rPr>
      </w:pPr>
      <w:r>
        <w:rPr>
          <w:rFonts w:hint="eastAsia"/>
        </w:rPr>
        <w:t>会议号召，全市各级政协组织、政协各参加单位和广大政协委员要更加紧密地团结在以习近平同志为核心的中共中央周围，在中共厦门市委的正确领导下，充分发挥人民政协在发展全过程人民民主中的重要作用，同心同德、开拓进取，为厦门在中国式现代化建设中奋勇争先作出政协新的更大贡献！</w:t>
      </w:r>
    </w:p>
    <w:p w14:paraId="2EDA79B3">
      <w:pPr>
        <w:pStyle w:val="13"/>
        <w:rPr>
          <w:rFonts w:hint="eastAsia"/>
        </w:rPr>
      </w:pPr>
    </w:p>
    <w:p w14:paraId="22F02BA7">
      <w:pPr>
        <w:pStyle w:val="13"/>
        <w:rPr>
          <w:rFonts w:hint="eastAsia"/>
        </w:rPr>
      </w:pPr>
    </w:p>
    <w:p w14:paraId="306CFC12">
      <w:pPr>
        <w:spacing w:after="240"/>
        <w:rPr>
          <w:rFonts w:hint="eastAsia"/>
        </w:rPr>
      </w:pPr>
      <w:r>
        <w:rPr>
          <w:rFonts w:hint="eastAsia"/>
        </w:rPr>
        <w:t>第十四届厦门市委员会常务委员会工作报告</w:t>
      </w:r>
    </w:p>
    <w:p w14:paraId="5504FB6D">
      <w:pPr>
        <w:spacing w:after="240"/>
        <w:rPr>
          <w:rFonts w:hint="eastAsia"/>
        </w:rPr>
      </w:pPr>
      <w:r>
        <w:rPr>
          <w:rFonts w:hint="eastAsia"/>
        </w:rPr>
        <w:t>——在政协第十四届厦门市委员会第四次会议上</w:t>
      </w:r>
    </w:p>
    <w:p w14:paraId="61DAFD88">
      <w:pPr>
        <w:spacing w:after="240"/>
        <w:rPr>
          <w:rFonts w:hint="eastAsia"/>
        </w:rPr>
      </w:pPr>
    </w:p>
    <w:p w14:paraId="36EAADAB">
      <w:pPr>
        <w:pStyle w:val="13"/>
        <w:rPr>
          <w:rFonts w:hint="eastAsia"/>
        </w:rPr>
      </w:pPr>
    </w:p>
    <w:p w14:paraId="2FD1BF9B">
      <w:pPr>
        <w:spacing w:after="240"/>
        <w:rPr>
          <w:rFonts w:hint="eastAsia"/>
        </w:rPr>
      </w:pPr>
      <w:r>
        <w:rPr>
          <w:rFonts w:hint="eastAsia"/>
        </w:rPr>
        <w:t>崔永辉、伍斌等市领导听取大会发言</w:t>
      </w:r>
    </w:p>
    <w:p w14:paraId="2D4D6E18">
      <w:pPr>
        <w:pStyle w:val="26"/>
        <w:bidi w:val="0"/>
        <w:rPr>
          <w:rFonts w:hint="eastAsia"/>
        </w:rPr>
      </w:pPr>
      <w:r>
        <w:rPr>
          <w:rFonts w:hint="eastAsia"/>
        </w:rPr>
        <w:t>1月20日，市政协十四届四次会议举行第二次全体会议，13位市政协委员紧扣我市经济社会发展重点难点热点，精心选题、精深调研，积极建言献策，共同协商议政。市领导崔永辉、伍斌、魏克良、张国旺、李辉跃等出席大会。</w:t>
      </w:r>
    </w:p>
    <w:p w14:paraId="26D6F0AD">
      <w:pPr>
        <w:pStyle w:val="26"/>
        <w:bidi w:val="0"/>
        <w:rPr>
          <w:rFonts w:hint="eastAsia"/>
        </w:rPr>
      </w:pPr>
      <w:r>
        <w:rPr>
          <w:rFonts w:hint="eastAsia"/>
        </w:rPr>
        <w:t>本次大会发言深入学习贯彻中共二十大和二十届二中、三中全会精神，紧扣市委十三届八次全会和市委经济工作会议部署要求，锚定高质量发展首要任务，委员们建真言、谋良策、出实招，为厦门在中国式现代化建设中奋勇争先汇智聚力。</w:t>
      </w:r>
    </w:p>
    <w:p w14:paraId="5392BCB3">
      <w:pPr>
        <w:pStyle w:val="26"/>
        <w:bidi w:val="0"/>
        <w:rPr>
          <w:rFonts w:hint="eastAsia"/>
        </w:rPr>
      </w:pPr>
      <w:r>
        <w:rPr>
          <w:rFonts w:hint="eastAsia"/>
        </w:rPr>
        <w:t>围绕推动科技创新与产业创新深度融合、加快培育新质生产力方面，委员们提出，汇聚高能级创新资源，强化创新策源能力，畅通科技创新成果向产业创新实践的转化通道等建议，着力培育发展新动能，加快建设科技强市。</w:t>
      </w:r>
    </w:p>
    <w:p w14:paraId="7B5B7E49">
      <w:pPr>
        <w:pStyle w:val="26"/>
        <w:bidi w:val="0"/>
        <w:rPr>
          <w:rFonts w:hint="eastAsia"/>
        </w:rPr>
      </w:pPr>
      <w:r>
        <w:rPr>
          <w:rFonts w:hint="eastAsia"/>
        </w:rPr>
        <w:t>聚焦全面深化改革、扩大高水平开放等重点领域，委员们建议，要更好服务和融入新发展格局，加快巩固拓展“双循环”重要通道，充分发挥自贸区优势，持续优化提升营商环境，助力厦门企业高质量“出海”和厦门港高质量发展；在深化厦港澳会展业合作、支持在厦中小微台资企业开拓内销市场等方面先行先试，在更广领域、更深层次开展探索，深入推进制度型开放。</w:t>
      </w:r>
    </w:p>
    <w:p w14:paraId="258C466E">
      <w:pPr>
        <w:pStyle w:val="26"/>
        <w:bidi w:val="0"/>
        <w:rPr>
          <w:rFonts w:hint="eastAsia"/>
        </w:rPr>
      </w:pPr>
      <w:r>
        <w:rPr>
          <w:rFonts w:hint="eastAsia"/>
        </w:rPr>
        <w:t>如何在增进民生福祉上持续发力？委员们建议，在“打造新消费场景、孕育新消费模式、创新商旅融合”等方面下功夫，促进厦门消费提质扩容；着眼于“主客共创”，构筑具有厦门特色的传统文艺精品热点IP；推动海洋生态价值创新转化，实现海洋生态保护修复与生态产业协同发展；构建高技能人才生态圈，促进厦门高质量就业。</w:t>
      </w:r>
    </w:p>
    <w:p w14:paraId="449C1234">
      <w:pPr>
        <w:pStyle w:val="26"/>
        <w:bidi w:val="0"/>
        <w:rPr>
          <w:rFonts w:hint="eastAsia"/>
        </w:rPr>
      </w:pPr>
      <w:r>
        <w:rPr>
          <w:rFonts w:hint="eastAsia"/>
        </w:rPr>
        <w:t>会前，广大市政协委员、市政协各参加单位和各专门委员会围绕全市中心工作，深入调查研究，广泛了解社情民意，集聚各界智慧，积极踊跃参与，形成发言材料56篇。</w:t>
      </w:r>
    </w:p>
    <w:p w14:paraId="785B8A0C">
      <w:pPr>
        <w:rPr>
          <w:rFonts w:hint="eastAsia"/>
        </w:rPr>
      </w:pPr>
      <w:r>
        <w:rPr>
          <w:rFonts w:hint="eastAsia"/>
        </w:rPr>
        <w:br w:type="page"/>
      </w:r>
    </w:p>
    <w:p w14:paraId="26F11F9A">
      <w:pPr>
        <w:pStyle w:val="13"/>
        <w:rPr>
          <w:rFonts w:hint="eastAsia"/>
        </w:rPr>
      </w:pPr>
    </w:p>
    <w:p w14:paraId="23019B6A">
      <w:pPr>
        <w:spacing w:after="240"/>
        <w:rPr>
          <w:rFonts w:hint="eastAsia"/>
        </w:rPr>
      </w:pPr>
      <w:r>
        <w:rPr>
          <w:rFonts w:hint="eastAsia"/>
        </w:rPr>
        <w:t>伍斌参加联组讨论听取意见建议</w:t>
      </w:r>
    </w:p>
    <w:p w14:paraId="6E704BAB">
      <w:pPr>
        <w:pStyle w:val="26"/>
        <w:bidi w:val="0"/>
        <w:rPr>
          <w:rFonts w:hint="eastAsia"/>
        </w:rPr>
      </w:pPr>
      <w:r>
        <w:rPr>
          <w:rFonts w:hint="eastAsia"/>
        </w:rPr>
        <w:t>1月20日，市长伍斌参加市政协十四届四次会议民建、工商联、经济界别联组讨论，听取委员们的意见建议。市政协党组书记张国旺参加。</w:t>
      </w:r>
    </w:p>
    <w:p w14:paraId="076D7909">
      <w:pPr>
        <w:pStyle w:val="26"/>
        <w:bidi w:val="0"/>
        <w:rPr>
          <w:rFonts w:hint="eastAsia"/>
        </w:rPr>
      </w:pPr>
      <w:r>
        <w:rPr>
          <w:rFonts w:hint="eastAsia"/>
        </w:rPr>
        <w:t>讨论中，委员们结合政府工作报告踊跃发言，围绕促进民营经济高质量发展、深化国有企业改革、推动文旅融合发展、扩大有效投资、培育新兴产业、加强数字政府建设等方面提出意见建议。伍斌逐一回应关切，表示将认真研究吸纳、进一步拓宽思路，在政府工作中加力推进。</w:t>
      </w:r>
    </w:p>
    <w:p w14:paraId="73CFA41A">
      <w:pPr>
        <w:pStyle w:val="26"/>
        <w:bidi w:val="0"/>
        <w:rPr>
          <w:rFonts w:hint="eastAsia"/>
        </w:rPr>
      </w:pPr>
      <w:r>
        <w:rPr>
          <w:rFonts w:hint="eastAsia"/>
        </w:rPr>
        <w:t>伍斌表示，民营企业是厦门经济结构调整和转型升级的重要力量，是推动科技创新和产业创新深度融合的重要主体，希望大家坚定发展信心，抢抓发展机遇，在厦门放开手脚、放心经营、放手拓展、放胆争先，加大科技研发投入，拓展产业新赛道，与厦门实现共赢发展。</w:t>
      </w:r>
    </w:p>
    <w:p w14:paraId="44DD428B">
      <w:pPr>
        <w:pStyle w:val="26"/>
        <w:bidi w:val="0"/>
        <w:rPr>
          <w:rFonts w:hint="eastAsia"/>
        </w:rPr>
      </w:pPr>
      <w:r>
        <w:rPr>
          <w:rFonts w:hint="eastAsia"/>
        </w:rPr>
        <w:t>各级政府各部门要一如既往支持各类所有制企业健康发展，听得见、听得进企业呼声，持续营造市场化、法治化、国际化一流营商环境，全面构建“亲”“清”新型政商关系，切实做到政策兑现不失信、依法行政不扰企、说到做到不食言、服务保障不拖沓、政商关系不出格，发扬敢为人先、爱拼会赢的开拓创新精神，更好激发各类经营主体活力，强力推动经济持续回升向好。</w:t>
      </w:r>
    </w:p>
    <w:p w14:paraId="5F2F8708">
      <w:pPr>
        <w:pStyle w:val="26"/>
        <w:bidi w:val="0"/>
        <w:rPr>
          <w:rFonts w:hint="eastAsia"/>
        </w:rPr>
      </w:pPr>
      <w:r>
        <w:rPr>
          <w:rFonts w:hint="eastAsia"/>
        </w:rPr>
        <w:t>伍斌感谢市政协和政协委员们对政府工作的关心支持和为全市发展作出的积极贡献，希望广大政协委员聚焦高质量发展首要任务，深入开展调查研究，广泛传递信心，唱响中国经济光明论，为全市发展多建睿智之言、多献务实之策，为厦门在中国式现代化建设中奋勇争先贡献智慧和力量。</w:t>
      </w:r>
    </w:p>
    <w:p w14:paraId="0BF15A86">
      <w:pPr>
        <w:spacing w:after="240"/>
        <w:rPr>
          <w:rFonts w:hint="eastAsia"/>
        </w:rPr>
      </w:pPr>
    </w:p>
    <w:p w14:paraId="1A2B2564">
      <w:pPr>
        <w:spacing w:after="240"/>
        <w:rPr>
          <w:rFonts w:hint="eastAsia"/>
        </w:rPr>
      </w:pPr>
    </w:p>
    <w:p w14:paraId="50966E84">
      <w:pPr>
        <w:spacing w:after="240"/>
        <w:rPr>
          <w:rFonts w:hint="eastAsia"/>
        </w:rPr>
      </w:pPr>
      <w:r>
        <w:rPr>
          <w:rFonts w:hint="eastAsia"/>
        </w:rPr>
        <w:t>张国旺当选政协第十四届厦门市委员会主席</w:t>
      </w:r>
    </w:p>
    <w:p w14:paraId="7DB95759">
      <w:pPr>
        <w:pStyle w:val="26"/>
        <w:bidi w:val="0"/>
        <w:rPr>
          <w:rFonts w:hint="eastAsia"/>
        </w:rPr>
      </w:pPr>
      <w:r>
        <w:rPr>
          <w:rFonts w:hint="eastAsia"/>
        </w:rPr>
        <w:t>1月21日，市政协十四届四次会议举行第三次全体会议，选举张国旺为政协第十四届厦门市委员会主席，林重阳为政协第十四届厦门市委员会副主席，钟伟东为政协第十四届厦门市委员会秘书长，增补林奕田、黄宇峰、曾东生、温普华为政协第十四届厦门市委员会常务委员。</w:t>
      </w:r>
    </w:p>
    <w:p w14:paraId="0B3DA422">
      <w:pPr>
        <w:pStyle w:val="26"/>
        <w:bidi w:val="0"/>
        <w:rPr>
          <w:rFonts w:hint="eastAsia"/>
        </w:rPr>
      </w:pPr>
      <w:r>
        <w:rPr>
          <w:rFonts w:hint="eastAsia"/>
        </w:rPr>
        <w:t>会议通过十四届市政协常委会组成人员辞去职务的决定，因任职年龄原因，会议同意魏克良辞去政协第十四届厦门市委员会主席，同意黄奋强、李钦辉辞去政协第十四届厦门市委员会副主席。因工作需要，会议同意张仁苇辞去政协第十四届厦门市委员会秘书长。</w:t>
      </w:r>
    </w:p>
    <w:p w14:paraId="299A2210">
      <w:pPr>
        <w:pStyle w:val="26"/>
        <w:bidi w:val="0"/>
        <w:rPr>
          <w:rFonts w:hint="eastAsia"/>
        </w:rPr>
      </w:pPr>
      <w:r>
        <w:rPr>
          <w:rFonts w:hint="eastAsia"/>
        </w:rPr>
        <w:t>会议通过市政协十四届四次会议选举办法，通过市政协十四届四次会议选举工作总监票人、监票人名单。</w:t>
      </w:r>
    </w:p>
    <w:p w14:paraId="39BAEE93">
      <w:pPr>
        <w:pStyle w:val="13"/>
        <w:rPr>
          <w:rFonts w:hint="eastAsia"/>
        </w:rPr>
      </w:pPr>
    </w:p>
    <w:p w14:paraId="7FB36299">
      <w:pPr>
        <w:pStyle w:val="13"/>
        <w:rPr>
          <w:rFonts w:hint="eastAsia"/>
        </w:rPr>
      </w:pPr>
    </w:p>
    <w:p w14:paraId="57186AE4">
      <w:pPr>
        <w:spacing w:after="240"/>
        <w:rPr>
          <w:rFonts w:hint="eastAsia"/>
        </w:rPr>
      </w:pPr>
      <w:r>
        <w:rPr>
          <w:rFonts w:hint="eastAsia"/>
        </w:rPr>
        <w:t>市政协十四届四次会议收到提案668件</w:t>
      </w:r>
    </w:p>
    <w:p w14:paraId="02424679">
      <w:pPr>
        <w:pStyle w:val="26"/>
        <w:bidi w:val="0"/>
        <w:rPr>
          <w:rFonts w:hint="eastAsia"/>
        </w:rPr>
      </w:pPr>
      <w:r>
        <w:rPr>
          <w:rFonts w:hint="eastAsia"/>
        </w:rPr>
        <w:t>1月21日，市政协十四届四次会议圆满闭幕。截至1月19日中午11时，大会共收到提案668件，同比增长3.25%，经过大会提案组初分、初审和提案委员会复审等环节审查把关，初步立案538件。</w:t>
      </w:r>
    </w:p>
    <w:p w14:paraId="51E5CBCA">
      <w:pPr>
        <w:pStyle w:val="26"/>
        <w:bidi w:val="0"/>
        <w:rPr>
          <w:rFonts w:hint="eastAsia"/>
        </w:rPr>
      </w:pPr>
      <w:r>
        <w:rPr>
          <w:rFonts w:hint="eastAsia"/>
        </w:rPr>
        <w:t>本次大会期间，广大政协委员、政协各参加单位和各专门委员会，以习近平新时代中国特色社会主义思想为指导，从新中国成立75周年和人民政协成立75周年光辉历程中汲取前进力量，围绕省委、市委工作要求，锚定高质量发展首要任务，精准选题、深入调研，通过提案积极参政议政、主动建言献策，为我市在中国式现代化建设中奋勇争先广泛汇聚智慧、贡献提案力量，彰显了政协委员和政协各参加单位为国履职、为民尽责的情怀和担当。</w:t>
      </w:r>
    </w:p>
    <w:p w14:paraId="2979454C">
      <w:pPr>
        <w:pStyle w:val="26"/>
        <w:bidi w:val="0"/>
        <w:rPr>
          <w:rFonts w:hint="eastAsia"/>
        </w:rPr>
      </w:pPr>
      <w:r>
        <w:rPr>
          <w:rFonts w:hint="eastAsia"/>
        </w:rPr>
        <w:t>初步立案的提案中，328件由市政协委员提出，210件由各民主党派、人民团体、界别活动小组和市政协各专门委员会提出。其中，经济建设方面163件，占30%；城市建设方面89件，占17%；文化建设方面77件，占14%；社会建设方面177件，占33%；生态文明建设方面32件，占6%。</w:t>
      </w:r>
    </w:p>
    <w:p w14:paraId="5669DFF9">
      <w:pPr>
        <w:pStyle w:val="26"/>
        <w:bidi w:val="0"/>
        <w:rPr>
          <w:rFonts w:hint="eastAsia"/>
        </w:rPr>
      </w:pPr>
      <w:r>
        <w:rPr>
          <w:rFonts w:hint="eastAsia"/>
        </w:rPr>
        <w:t>大会闭幕后，市政协提案委将对大会提案进行终审，经审查立案的，将由市委督查室、市政府督查室会同提案委共同做好交办工作。</w:t>
      </w:r>
    </w:p>
    <w:p w14:paraId="7E52DFB6">
      <w:pPr>
        <w:pStyle w:val="13"/>
        <w:rPr>
          <w:rFonts w:hint="eastAsia"/>
        </w:rPr>
      </w:pPr>
    </w:p>
    <w:p w14:paraId="1A7E8A45">
      <w:pPr>
        <w:pStyle w:val="13"/>
        <w:rPr>
          <w:rFonts w:hint="eastAsia"/>
        </w:rPr>
      </w:pPr>
    </w:p>
    <w:p w14:paraId="13C8BC57">
      <w:pPr>
        <w:spacing w:after="240"/>
        <w:rPr>
          <w:rFonts w:hint="eastAsia"/>
          <w:lang w:val="en-US" w:eastAsia="zh-CN"/>
        </w:rPr>
      </w:pPr>
      <w:r>
        <w:rPr>
          <w:rFonts w:hint="eastAsia"/>
          <w:lang w:val="en-US" w:eastAsia="zh-CN"/>
        </w:rPr>
        <w:t>光荣榜</w:t>
      </w:r>
    </w:p>
    <w:p w14:paraId="63F7740F">
      <w:pPr>
        <w:pStyle w:val="26"/>
        <w:bidi w:val="0"/>
        <w:rPr>
          <w:rFonts w:hint="eastAsia"/>
        </w:rPr>
      </w:pPr>
      <w:r>
        <w:rPr>
          <w:rFonts w:hint="eastAsia"/>
        </w:rPr>
        <w:t>经政协第十四届厦门市委员会第四十八次主席会议协商决定，民革界别活动小组等7个集体获评2024年度先进界别活动小组，王朝晖等30人获评2024年度优秀市政协委员。经政协第十四届厦门市委员会第四十七次主席会议审定，《搭建厦港澳科技产业化平台 统筹科学城配套建设 打造区域科创中心》等15件提案获评2024年度优秀提案，厦门市人民检察院等15家单位获评优秀提案承办单位。</w:t>
      </w:r>
    </w:p>
    <w:p w14:paraId="274945D6">
      <w:pPr>
        <w:pStyle w:val="26"/>
        <w:bidi w:val="0"/>
        <w:rPr>
          <w:rFonts w:hint="eastAsia"/>
        </w:rPr>
      </w:pPr>
      <w:r>
        <w:rPr>
          <w:rFonts w:hint="eastAsia"/>
        </w:rPr>
        <w:t>希望被表扬的集体和个人再接再厉，以高度的政治责任感和务实的工作态度，深入调查研究、积极建言献策，为厦门在中国式现代化建设中奋勇争先作出新的更大贡献！</w:t>
      </w:r>
    </w:p>
    <w:p w14:paraId="2A43FA1E">
      <w:pPr>
        <w:pStyle w:val="13"/>
        <w:rPr>
          <w:rFonts w:hint="eastAsia"/>
        </w:rPr>
      </w:pPr>
    </w:p>
    <w:tbl>
      <w:tblPr>
        <w:tblStyle w:val="47"/>
        <w:tblW w:w="102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9"/>
        <w:gridCol w:w="4186"/>
      </w:tblGrid>
      <w:tr w14:paraId="4FA93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3" w:hRule="atLeast"/>
        </w:trPr>
        <w:tc>
          <w:tcPr>
            <w:tcW w:w="10205" w:type="dxa"/>
            <w:gridSpan w:val="2"/>
            <w:shd w:val="clear" w:color="auto" w:fill="4F81BD" w:themeFill="accent1"/>
            <w:vAlign w:val="top"/>
          </w:tcPr>
          <w:p w14:paraId="44F4AB2C">
            <w:pPr>
              <w:spacing w:before="76" w:line="203" w:lineRule="auto"/>
              <w:jc w:val="center"/>
              <w:rPr>
                <w:rFonts w:ascii="宋体" w:hAnsi="宋体" w:eastAsia="宋体" w:cs="宋体"/>
                <w:sz w:val="28"/>
                <w:szCs w:val="28"/>
              </w:rPr>
            </w:pPr>
            <w:r>
              <w:rPr>
                <w:rFonts w:ascii="宋体" w:hAnsi="宋体" w:eastAsia="宋体" w:cs="宋体"/>
                <w:b/>
                <w:bCs/>
                <w:color w:val="auto"/>
                <w:spacing w:val="-5"/>
                <w:sz w:val="28"/>
                <w:szCs w:val="28"/>
              </w:rPr>
              <w:t>2024年度优秀提案承办单位</w:t>
            </w:r>
          </w:p>
        </w:tc>
      </w:tr>
      <w:tr w14:paraId="4F7EE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019" w:type="dxa"/>
            <w:vAlign w:val="top"/>
          </w:tcPr>
          <w:p w14:paraId="6202C555">
            <w:pPr>
              <w:spacing w:before="170" w:line="219" w:lineRule="auto"/>
              <w:ind w:left="235"/>
              <w:rPr>
                <w:rFonts w:ascii="宋体" w:hAnsi="宋体" w:eastAsia="宋体" w:cs="宋体"/>
                <w:sz w:val="24"/>
                <w:szCs w:val="24"/>
              </w:rPr>
            </w:pPr>
            <w:r>
              <w:rPr>
                <w:rFonts w:ascii="宋体" w:hAnsi="宋体" w:eastAsia="宋体" w:cs="宋体"/>
                <w:spacing w:val="1"/>
                <w:sz w:val="24"/>
                <w:szCs w:val="24"/>
              </w:rPr>
              <w:t>厦门市人民检察院</w:t>
            </w:r>
          </w:p>
        </w:tc>
        <w:tc>
          <w:tcPr>
            <w:tcW w:w="4186" w:type="dxa"/>
            <w:vAlign w:val="top"/>
          </w:tcPr>
          <w:p w14:paraId="34D4E8CE">
            <w:pPr>
              <w:spacing w:before="170" w:line="219" w:lineRule="auto"/>
              <w:ind w:left="256"/>
              <w:rPr>
                <w:rFonts w:ascii="宋体" w:hAnsi="宋体" w:eastAsia="宋体" w:cs="宋体"/>
                <w:sz w:val="24"/>
                <w:szCs w:val="24"/>
              </w:rPr>
            </w:pPr>
            <w:r>
              <w:rPr>
                <w:rFonts w:ascii="宋体" w:hAnsi="宋体" w:eastAsia="宋体" w:cs="宋体"/>
                <w:spacing w:val="2"/>
                <w:sz w:val="24"/>
                <w:szCs w:val="24"/>
              </w:rPr>
              <w:t>厦门市交通运输局</w:t>
            </w:r>
          </w:p>
        </w:tc>
      </w:tr>
      <w:tr w14:paraId="16E9B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019" w:type="dxa"/>
            <w:vAlign w:val="top"/>
          </w:tcPr>
          <w:p w14:paraId="21F5BB34">
            <w:pPr>
              <w:spacing w:before="159" w:line="219" w:lineRule="auto"/>
              <w:ind w:left="235"/>
              <w:rPr>
                <w:rFonts w:ascii="宋体" w:hAnsi="宋体" w:eastAsia="宋体" w:cs="宋体"/>
                <w:sz w:val="24"/>
                <w:szCs w:val="24"/>
              </w:rPr>
            </w:pPr>
            <w:r>
              <w:rPr>
                <w:rFonts w:ascii="宋体" w:hAnsi="宋体" w:eastAsia="宋体" w:cs="宋体"/>
                <w:sz w:val="24"/>
                <w:szCs w:val="24"/>
              </w:rPr>
              <w:t>中国(福建)自由贸易试验区厦门片区管理委员会</w:t>
            </w:r>
          </w:p>
        </w:tc>
        <w:tc>
          <w:tcPr>
            <w:tcW w:w="4186" w:type="dxa"/>
            <w:vAlign w:val="top"/>
          </w:tcPr>
          <w:p w14:paraId="3897E8C1">
            <w:pPr>
              <w:spacing w:before="159" w:line="219" w:lineRule="auto"/>
              <w:ind w:left="256"/>
              <w:rPr>
                <w:rFonts w:ascii="宋体" w:hAnsi="宋体" w:eastAsia="宋体" w:cs="宋体"/>
                <w:sz w:val="24"/>
                <w:szCs w:val="24"/>
              </w:rPr>
            </w:pPr>
            <w:r>
              <w:rPr>
                <w:rFonts w:ascii="宋体" w:hAnsi="宋体" w:eastAsia="宋体" w:cs="宋体"/>
                <w:sz w:val="24"/>
                <w:szCs w:val="24"/>
              </w:rPr>
              <w:t>厦门市卫生健康委员会</w:t>
            </w:r>
          </w:p>
        </w:tc>
      </w:tr>
      <w:tr w14:paraId="78B88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6019" w:type="dxa"/>
            <w:vAlign w:val="top"/>
          </w:tcPr>
          <w:p w14:paraId="01D24366">
            <w:pPr>
              <w:spacing w:before="172" w:line="219" w:lineRule="auto"/>
              <w:ind w:left="235"/>
              <w:rPr>
                <w:rFonts w:ascii="宋体" w:hAnsi="宋体" w:eastAsia="宋体" w:cs="宋体"/>
                <w:sz w:val="24"/>
                <w:szCs w:val="24"/>
              </w:rPr>
            </w:pPr>
            <w:r>
              <w:rPr>
                <w:rFonts w:ascii="宋体" w:hAnsi="宋体" w:eastAsia="宋体" w:cs="宋体"/>
                <w:spacing w:val="3"/>
                <w:sz w:val="24"/>
                <w:szCs w:val="24"/>
              </w:rPr>
              <w:t>厦门市教育局</w:t>
            </w:r>
          </w:p>
        </w:tc>
        <w:tc>
          <w:tcPr>
            <w:tcW w:w="4186" w:type="dxa"/>
            <w:vAlign w:val="top"/>
          </w:tcPr>
          <w:p w14:paraId="6108A218">
            <w:pPr>
              <w:spacing w:before="172" w:line="219" w:lineRule="auto"/>
              <w:ind w:left="256"/>
              <w:rPr>
                <w:rFonts w:ascii="宋体" w:hAnsi="宋体" w:eastAsia="宋体" w:cs="宋体"/>
                <w:sz w:val="24"/>
                <w:szCs w:val="24"/>
              </w:rPr>
            </w:pPr>
            <w:r>
              <w:rPr>
                <w:rFonts w:ascii="宋体" w:hAnsi="宋体" w:eastAsia="宋体" w:cs="宋体"/>
                <w:spacing w:val="1"/>
                <w:sz w:val="24"/>
                <w:szCs w:val="24"/>
              </w:rPr>
              <w:t>厦门市市场监督管理局</w:t>
            </w:r>
          </w:p>
        </w:tc>
      </w:tr>
      <w:tr w14:paraId="2F380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019" w:type="dxa"/>
            <w:vAlign w:val="top"/>
          </w:tcPr>
          <w:p w14:paraId="5DB044E9">
            <w:pPr>
              <w:spacing w:before="172" w:line="219" w:lineRule="auto"/>
              <w:ind w:left="235"/>
              <w:rPr>
                <w:rFonts w:ascii="宋体" w:hAnsi="宋体" w:eastAsia="宋体" w:cs="宋体"/>
                <w:sz w:val="24"/>
                <w:szCs w:val="24"/>
              </w:rPr>
            </w:pPr>
            <w:r>
              <w:rPr>
                <w:rFonts w:ascii="宋体" w:hAnsi="宋体" w:eastAsia="宋体" w:cs="宋体"/>
                <w:spacing w:val="2"/>
                <w:sz w:val="24"/>
                <w:szCs w:val="24"/>
              </w:rPr>
              <w:t>厦门市科学技术局</w:t>
            </w:r>
          </w:p>
        </w:tc>
        <w:tc>
          <w:tcPr>
            <w:tcW w:w="4186" w:type="dxa"/>
            <w:vAlign w:val="top"/>
          </w:tcPr>
          <w:p w14:paraId="69EB212E">
            <w:pPr>
              <w:spacing w:before="174" w:line="219" w:lineRule="auto"/>
              <w:ind w:left="256"/>
              <w:rPr>
                <w:rFonts w:ascii="宋体" w:hAnsi="宋体" w:eastAsia="宋体" w:cs="宋体"/>
                <w:sz w:val="24"/>
                <w:szCs w:val="24"/>
              </w:rPr>
            </w:pPr>
            <w:r>
              <w:rPr>
                <w:rFonts w:ascii="宋体" w:hAnsi="宋体" w:eastAsia="宋体" w:cs="宋体"/>
                <w:spacing w:val="2"/>
                <w:sz w:val="24"/>
                <w:szCs w:val="24"/>
              </w:rPr>
              <w:t>厦门市市政园林局</w:t>
            </w:r>
          </w:p>
        </w:tc>
      </w:tr>
      <w:tr w14:paraId="64EE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019" w:type="dxa"/>
            <w:vAlign w:val="top"/>
          </w:tcPr>
          <w:p w14:paraId="3D155229">
            <w:pPr>
              <w:spacing w:before="165" w:line="219" w:lineRule="auto"/>
              <w:ind w:left="235"/>
              <w:rPr>
                <w:rFonts w:ascii="宋体" w:hAnsi="宋体" w:eastAsia="宋体" w:cs="宋体"/>
                <w:sz w:val="24"/>
                <w:szCs w:val="24"/>
              </w:rPr>
            </w:pPr>
            <w:r>
              <w:rPr>
                <w:rFonts w:ascii="宋体" w:hAnsi="宋体" w:eastAsia="宋体" w:cs="宋体"/>
                <w:spacing w:val="1"/>
                <w:sz w:val="24"/>
                <w:szCs w:val="24"/>
              </w:rPr>
              <w:t>厦门市工业和信息化局</w:t>
            </w:r>
          </w:p>
        </w:tc>
        <w:tc>
          <w:tcPr>
            <w:tcW w:w="4186" w:type="dxa"/>
            <w:vAlign w:val="top"/>
          </w:tcPr>
          <w:p w14:paraId="2C58C930">
            <w:pPr>
              <w:spacing w:before="165" w:line="219" w:lineRule="auto"/>
              <w:ind w:left="256"/>
              <w:rPr>
                <w:rFonts w:ascii="宋体" w:hAnsi="宋体" w:eastAsia="宋体" w:cs="宋体"/>
                <w:sz w:val="24"/>
                <w:szCs w:val="24"/>
              </w:rPr>
            </w:pPr>
            <w:r>
              <w:rPr>
                <w:rFonts w:ascii="宋体" w:hAnsi="宋体" w:eastAsia="宋体" w:cs="宋体"/>
                <w:spacing w:val="2"/>
                <w:sz w:val="24"/>
                <w:szCs w:val="24"/>
              </w:rPr>
              <w:t>厦门港口管理局</w:t>
            </w:r>
          </w:p>
        </w:tc>
      </w:tr>
      <w:tr w14:paraId="0DD6B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019" w:type="dxa"/>
            <w:vAlign w:val="top"/>
          </w:tcPr>
          <w:p w14:paraId="0D3C5C24">
            <w:pPr>
              <w:spacing w:before="176" w:line="219" w:lineRule="auto"/>
              <w:ind w:left="235"/>
              <w:rPr>
                <w:rFonts w:ascii="宋体" w:hAnsi="宋体" w:eastAsia="宋体" w:cs="宋体"/>
                <w:sz w:val="24"/>
                <w:szCs w:val="24"/>
              </w:rPr>
            </w:pPr>
            <w:r>
              <w:rPr>
                <w:rFonts w:ascii="宋体" w:hAnsi="宋体" w:eastAsia="宋体" w:cs="宋体"/>
                <w:spacing w:val="3"/>
                <w:sz w:val="24"/>
                <w:szCs w:val="24"/>
              </w:rPr>
              <w:t>厦门市民政局</w:t>
            </w:r>
          </w:p>
        </w:tc>
        <w:tc>
          <w:tcPr>
            <w:tcW w:w="4186" w:type="dxa"/>
            <w:vAlign w:val="top"/>
          </w:tcPr>
          <w:p w14:paraId="28EEB884">
            <w:pPr>
              <w:spacing w:before="176" w:line="219" w:lineRule="auto"/>
              <w:ind w:left="256"/>
              <w:rPr>
                <w:rFonts w:ascii="宋体" w:hAnsi="宋体" w:eastAsia="宋体" w:cs="宋体"/>
                <w:sz w:val="24"/>
                <w:szCs w:val="24"/>
              </w:rPr>
            </w:pPr>
            <w:r>
              <w:rPr>
                <w:rFonts w:ascii="宋体" w:hAnsi="宋体" w:eastAsia="宋体" w:cs="宋体"/>
                <w:spacing w:val="2"/>
                <w:sz w:val="24"/>
                <w:szCs w:val="24"/>
              </w:rPr>
              <w:t>厦门市医疗保障局</w:t>
            </w:r>
          </w:p>
        </w:tc>
      </w:tr>
      <w:tr w14:paraId="2ACD7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6019" w:type="dxa"/>
            <w:vAlign w:val="top"/>
          </w:tcPr>
          <w:p w14:paraId="0F78DB77">
            <w:pPr>
              <w:spacing w:before="177" w:line="219" w:lineRule="auto"/>
              <w:ind w:left="235"/>
              <w:rPr>
                <w:rFonts w:ascii="宋体" w:hAnsi="宋体" w:eastAsia="宋体" w:cs="宋体"/>
                <w:sz w:val="24"/>
                <w:szCs w:val="24"/>
              </w:rPr>
            </w:pPr>
            <w:r>
              <w:rPr>
                <w:rFonts w:ascii="宋体" w:hAnsi="宋体" w:eastAsia="宋体" w:cs="宋体"/>
                <w:spacing w:val="3"/>
                <w:sz w:val="24"/>
                <w:szCs w:val="24"/>
              </w:rPr>
              <w:t>厦门市司法局</w:t>
            </w:r>
          </w:p>
        </w:tc>
        <w:tc>
          <w:tcPr>
            <w:tcW w:w="4186" w:type="dxa"/>
            <w:vAlign w:val="top"/>
          </w:tcPr>
          <w:p w14:paraId="734F2EBB">
            <w:pPr>
              <w:spacing w:before="177" w:line="219" w:lineRule="auto"/>
              <w:ind w:left="256"/>
              <w:rPr>
                <w:rFonts w:ascii="宋体" w:hAnsi="宋体" w:eastAsia="宋体" w:cs="宋体"/>
                <w:sz w:val="24"/>
                <w:szCs w:val="24"/>
              </w:rPr>
            </w:pPr>
            <w:r>
              <w:rPr>
                <w:rFonts w:ascii="宋体" w:hAnsi="宋体" w:eastAsia="宋体" w:cs="宋体"/>
                <w:spacing w:val="2"/>
                <w:sz w:val="24"/>
                <w:szCs w:val="24"/>
              </w:rPr>
              <w:t>厦门市数据管理局</w:t>
            </w:r>
          </w:p>
        </w:tc>
      </w:tr>
      <w:tr w14:paraId="6F91F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6019" w:type="dxa"/>
            <w:vAlign w:val="top"/>
          </w:tcPr>
          <w:p w14:paraId="6E168D3C">
            <w:pPr>
              <w:spacing w:before="178" w:line="219" w:lineRule="auto"/>
              <w:ind w:left="235"/>
              <w:rPr>
                <w:rFonts w:ascii="宋体" w:hAnsi="宋体" w:eastAsia="宋体" w:cs="宋体"/>
                <w:sz w:val="24"/>
                <w:szCs w:val="24"/>
              </w:rPr>
            </w:pPr>
            <w:r>
              <w:rPr>
                <w:rFonts w:ascii="宋体" w:hAnsi="宋体" w:eastAsia="宋体" w:cs="宋体"/>
                <w:spacing w:val="3"/>
                <w:sz w:val="24"/>
                <w:szCs w:val="24"/>
              </w:rPr>
              <w:t>厦门市财政局</w:t>
            </w:r>
          </w:p>
        </w:tc>
        <w:tc>
          <w:tcPr>
            <w:tcW w:w="4186" w:type="dxa"/>
            <w:vAlign w:val="top"/>
          </w:tcPr>
          <w:p w14:paraId="21F19BBD">
            <w:pPr>
              <w:rPr>
                <w:rFonts w:ascii="Arial"/>
                <w:sz w:val="24"/>
                <w:szCs w:val="24"/>
              </w:rPr>
            </w:pPr>
          </w:p>
        </w:tc>
      </w:tr>
    </w:tbl>
    <w:p w14:paraId="4B963886">
      <w:pPr>
        <w:pStyle w:val="13"/>
        <w:rPr>
          <w:rFonts w:hint="eastAsia"/>
        </w:rPr>
      </w:pPr>
    </w:p>
    <w:p w14:paraId="1AD1B038">
      <w:pPr>
        <w:pStyle w:val="13"/>
        <w:rPr>
          <w:rFonts w:hint="eastAsia"/>
        </w:rPr>
      </w:pPr>
    </w:p>
    <w:p w14:paraId="00310049">
      <w:pPr>
        <w:pStyle w:val="13"/>
        <w:rPr>
          <w:rFonts w:hint="eastAsia"/>
        </w:rPr>
      </w:pPr>
    </w:p>
    <w:p w14:paraId="6294433A">
      <w:pPr>
        <w:pStyle w:val="13"/>
        <w:rPr>
          <w:rFonts w:hint="eastAsia"/>
        </w:rPr>
      </w:pPr>
    </w:p>
    <w:tbl>
      <w:tblPr>
        <w:tblStyle w:val="47"/>
        <w:tblW w:w="10350" w:type="dxa"/>
        <w:tblInd w:w="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7"/>
        <w:gridCol w:w="3333"/>
        <w:gridCol w:w="3250"/>
      </w:tblGrid>
      <w:tr w14:paraId="3F33E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0350" w:type="dxa"/>
            <w:gridSpan w:val="3"/>
            <w:tcBorders>
              <w:top w:val="single" w:color="000000" w:sz="2" w:space="0"/>
              <w:bottom w:val="single" w:color="000000" w:sz="2" w:space="0"/>
            </w:tcBorders>
            <w:shd w:val="clear" w:color="auto" w:fill="4F81BD" w:themeFill="accent1"/>
            <w:vAlign w:val="top"/>
          </w:tcPr>
          <w:p w14:paraId="05BAB3A3">
            <w:pPr>
              <w:pStyle w:val="48"/>
              <w:spacing w:before="71" w:line="200" w:lineRule="auto"/>
              <w:jc w:val="center"/>
              <w:rPr>
                <w:color w:val="auto"/>
                <w:sz w:val="46"/>
                <w:szCs w:val="46"/>
              </w:rPr>
            </w:pPr>
            <w:r>
              <w:rPr>
                <w:b/>
                <w:bCs/>
                <w:color w:val="auto"/>
                <w:spacing w:val="-4"/>
                <w:sz w:val="28"/>
                <w:szCs w:val="28"/>
                <w:shd w:val="clear" w:fill="4F81BD" w:themeFill="accent1"/>
              </w:rPr>
              <w:t>2024年度优秀提案</w:t>
            </w:r>
          </w:p>
        </w:tc>
      </w:tr>
      <w:tr w14:paraId="31859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100" w:type="dxa"/>
            <w:gridSpan w:val="2"/>
            <w:tcBorders>
              <w:top w:val="single" w:color="000000" w:sz="2" w:space="0"/>
              <w:bottom w:val="single" w:color="000000" w:sz="2" w:space="0"/>
            </w:tcBorders>
            <w:vAlign w:val="top"/>
          </w:tcPr>
          <w:p w14:paraId="0B618059">
            <w:pPr>
              <w:pStyle w:val="48"/>
              <w:spacing w:before="65" w:line="220" w:lineRule="auto"/>
              <w:ind w:left="3197"/>
              <w:jc w:val="both"/>
              <w:rPr>
                <w:sz w:val="20"/>
                <w:szCs w:val="20"/>
              </w:rPr>
            </w:pPr>
            <w:r>
              <w:rPr>
                <w:b/>
                <w:bCs/>
                <w:spacing w:val="6"/>
                <w:sz w:val="20"/>
                <w:szCs w:val="20"/>
              </w:rPr>
              <w:t>案由</w:t>
            </w:r>
          </w:p>
        </w:tc>
        <w:tc>
          <w:tcPr>
            <w:tcW w:w="3250" w:type="dxa"/>
            <w:tcBorders>
              <w:top w:val="single" w:color="000000" w:sz="2" w:space="0"/>
              <w:bottom w:val="single" w:color="000000" w:sz="2" w:space="0"/>
            </w:tcBorders>
            <w:vAlign w:val="top"/>
          </w:tcPr>
          <w:p w14:paraId="51F1B126">
            <w:pPr>
              <w:pStyle w:val="48"/>
              <w:spacing w:before="65" w:line="220" w:lineRule="auto"/>
              <w:ind w:left="860"/>
              <w:rPr>
                <w:sz w:val="20"/>
                <w:szCs w:val="20"/>
              </w:rPr>
            </w:pPr>
            <w:r>
              <w:rPr>
                <w:b/>
                <w:bCs/>
                <w:color w:val="490C00"/>
                <w:spacing w:val="-5"/>
                <w:sz w:val="20"/>
                <w:szCs w:val="20"/>
              </w:rPr>
              <w:t>提案人</w:t>
            </w:r>
          </w:p>
        </w:tc>
      </w:tr>
      <w:tr w14:paraId="4EEB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3767" w:type="dxa"/>
            <w:vMerge w:val="restart"/>
            <w:tcBorders>
              <w:top w:val="single" w:color="000000" w:sz="2" w:space="0"/>
              <w:bottom w:val="nil"/>
            </w:tcBorders>
            <w:vAlign w:val="top"/>
          </w:tcPr>
          <w:p w14:paraId="1D837DC2">
            <w:pPr>
              <w:spacing w:line="464" w:lineRule="auto"/>
              <w:rPr>
                <w:rFonts w:ascii="Arial"/>
                <w:sz w:val="21"/>
              </w:rPr>
            </w:pPr>
          </w:p>
          <w:p w14:paraId="7AAEFD64">
            <w:pPr>
              <w:pStyle w:val="48"/>
              <w:spacing w:before="65" w:line="219" w:lineRule="auto"/>
              <w:ind w:left="84"/>
              <w:rPr>
                <w:sz w:val="20"/>
                <w:szCs w:val="20"/>
              </w:rPr>
            </w:pPr>
            <w:r>
              <w:rPr>
                <w:sz w:val="20"/>
                <w:szCs w:val="20"/>
              </w:rPr>
              <w:t>搭建厦港澳科技产业化平台，统筹</w:t>
            </w:r>
          </w:p>
          <w:p w14:paraId="1EE31E6A">
            <w:pPr>
              <w:pStyle w:val="48"/>
              <w:spacing w:before="62" w:line="219" w:lineRule="auto"/>
              <w:ind w:left="84"/>
              <w:rPr>
                <w:sz w:val="20"/>
                <w:szCs w:val="20"/>
              </w:rPr>
            </w:pPr>
            <w:r>
              <w:rPr>
                <w:sz w:val="20"/>
                <w:szCs w:val="20"/>
              </w:rPr>
              <w:t>科学城配套建设，打造区域科创中心</w:t>
            </w:r>
          </w:p>
        </w:tc>
        <w:tc>
          <w:tcPr>
            <w:tcW w:w="3333" w:type="dxa"/>
            <w:tcBorders>
              <w:top w:val="single" w:color="000000" w:sz="2" w:space="0"/>
              <w:bottom w:val="single" w:color="000000" w:sz="2" w:space="0"/>
            </w:tcBorders>
            <w:vAlign w:val="top"/>
          </w:tcPr>
          <w:p w14:paraId="63C42689">
            <w:pPr>
              <w:pStyle w:val="48"/>
              <w:spacing w:before="122" w:line="280" w:lineRule="auto"/>
              <w:ind w:left="43" w:right="187"/>
              <w:rPr>
                <w:sz w:val="20"/>
                <w:szCs w:val="20"/>
              </w:rPr>
            </w:pPr>
            <w:r>
              <w:rPr>
                <w:sz w:val="20"/>
                <w:szCs w:val="20"/>
              </w:rPr>
              <w:t>统筹科学城配套建设，加快形成创</w:t>
            </w:r>
            <w:r>
              <w:rPr>
                <w:spacing w:val="13"/>
                <w:sz w:val="20"/>
                <w:szCs w:val="20"/>
              </w:rPr>
              <w:t xml:space="preserve"> </w:t>
            </w:r>
            <w:r>
              <w:rPr>
                <w:spacing w:val="-2"/>
                <w:sz w:val="20"/>
                <w:szCs w:val="20"/>
              </w:rPr>
              <w:t>新新引擎</w:t>
            </w:r>
          </w:p>
        </w:tc>
        <w:tc>
          <w:tcPr>
            <w:tcW w:w="3250" w:type="dxa"/>
            <w:tcBorders>
              <w:top w:val="single" w:color="000000" w:sz="2" w:space="0"/>
              <w:bottom w:val="single" w:color="000000" w:sz="2" w:space="0"/>
            </w:tcBorders>
            <w:vAlign w:val="top"/>
          </w:tcPr>
          <w:p w14:paraId="6342C58C">
            <w:pPr>
              <w:pStyle w:val="48"/>
              <w:spacing w:before="292" w:line="219" w:lineRule="auto"/>
              <w:ind w:left="77"/>
              <w:rPr>
                <w:sz w:val="20"/>
                <w:szCs w:val="20"/>
              </w:rPr>
            </w:pPr>
            <w:r>
              <w:rPr>
                <w:sz w:val="20"/>
                <w:szCs w:val="20"/>
              </w:rPr>
              <w:t>九三学社厦门市委员会</w:t>
            </w:r>
          </w:p>
        </w:tc>
      </w:tr>
      <w:tr w14:paraId="198C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3767" w:type="dxa"/>
            <w:vMerge w:val="continue"/>
            <w:tcBorders>
              <w:top w:val="nil"/>
              <w:bottom w:val="single" w:color="000000" w:sz="2" w:space="0"/>
            </w:tcBorders>
            <w:vAlign w:val="top"/>
          </w:tcPr>
          <w:p w14:paraId="474CB86C">
            <w:pPr>
              <w:rPr>
                <w:rFonts w:ascii="Arial"/>
                <w:sz w:val="21"/>
              </w:rPr>
            </w:pPr>
          </w:p>
        </w:tc>
        <w:tc>
          <w:tcPr>
            <w:tcW w:w="3333" w:type="dxa"/>
            <w:tcBorders>
              <w:top w:val="single" w:color="000000" w:sz="2" w:space="0"/>
              <w:bottom w:val="single" w:color="000000" w:sz="2" w:space="0"/>
            </w:tcBorders>
            <w:vAlign w:val="top"/>
          </w:tcPr>
          <w:p w14:paraId="45955BC7">
            <w:pPr>
              <w:pStyle w:val="48"/>
              <w:spacing w:before="124" w:line="300" w:lineRule="auto"/>
              <w:ind w:left="43" w:right="144" w:firstLine="40"/>
              <w:rPr>
                <w:sz w:val="20"/>
                <w:szCs w:val="20"/>
              </w:rPr>
            </w:pPr>
            <w:r>
              <w:rPr>
                <w:spacing w:val="1"/>
                <w:sz w:val="20"/>
                <w:szCs w:val="20"/>
              </w:rPr>
              <w:t>搭建厦港澳科技产业化平台，助力 打造区域科创中心</w:t>
            </w:r>
          </w:p>
        </w:tc>
        <w:tc>
          <w:tcPr>
            <w:tcW w:w="3250" w:type="dxa"/>
            <w:tcBorders>
              <w:top w:val="single" w:color="000000" w:sz="2" w:space="0"/>
              <w:bottom w:val="single" w:color="000000" w:sz="2" w:space="0"/>
            </w:tcBorders>
            <w:vAlign w:val="top"/>
          </w:tcPr>
          <w:p w14:paraId="7D875DBB">
            <w:pPr>
              <w:pStyle w:val="48"/>
              <w:spacing w:before="293" w:line="219" w:lineRule="auto"/>
              <w:ind w:left="77"/>
              <w:rPr>
                <w:sz w:val="20"/>
                <w:szCs w:val="20"/>
              </w:rPr>
            </w:pPr>
            <w:r>
              <w:rPr>
                <w:spacing w:val="-1"/>
                <w:sz w:val="20"/>
                <w:szCs w:val="20"/>
              </w:rPr>
              <w:t>致公党厦门市委员会</w:t>
            </w:r>
          </w:p>
        </w:tc>
      </w:tr>
      <w:tr w14:paraId="57625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100" w:type="dxa"/>
            <w:gridSpan w:val="2"/>
            <w:tcBorders>
              <w:top w:val="single" w:color="000000" w:sz="2" w:space="0"/>
              <w:bottom w:val="single" w:color="000000" w:sz="2" w:space="0"/>
            </w:tcBorders>
            <w:vAlign w:val="top"/>
          </w:tcPr>
          <w:p w14:paraId="210D541F">
            <w:pPr>
              <w:pStyle w:val="48"/>
              <w:spacing w:before="155" w:line="219" w:lineRule="auto"/>
              <w:ind w:left="54"/>
              <w:rPr>
                <w:sz w:val="20"/>
                <w:szCs w:val="20"/>
              </w:rPr>
            </w:pPr>
            <w:r>
              <w:rPr>
                <w:spacing w:val="-1"/>
                <w:sz w:val="20"/>
                <w:szCs w:val="20"/>
              </w:rPr>
              <w:t>推进厦门“丝路海运”港航贸一体化发展的建议</w:t>
            </w:r>
          </w:p>
        </w:tc>
        <w:tc>
          <w:tcPr>
            <w:tcW w:w="3250" w:type="dxa"/>
            <w:tcBorders>
              <w:top w:val="single" w:color="000000" w:sz="2" w:space="0"/>
              <w:bottom w:val="single" w:color="000000" w:sz="2" w:space="0"/>
            </w:tcBorders>
            <w:vAlign w:val="top"/>
          </w:tcPr>
          <w:p w14:paraId="45C9A323">
            <w:pPr>
              <w:pStyle w:val="48"/>
              <w:spacing w:before="156" w:line="220" w:lineRule="auto"/>
              <w:ind w:left="77"/>
              <w:rPr>
                <w:sz w:val="20"/>
                <w:szCs w:val="20"/>
              </w:rPr>
            </w:pPr>
            <w:r>
              <w:rPr>
                <w:sz w:val="20"/>
                <w:szCs w:val="20"/>
              </w:rPr>
              <w:t>民进界别活动小组</w:t>
            </w:r>
          </w:p>
        </w:tc>
      </w:tr>
      <w:tr w14:paraId="29707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7100" w:type="dxa"/>
            <w:gridSpan w:val="2"/>
            <w:tcBorders>
              <w:top w:val="single" w:color="000000" w:sz="2" w:space="0"/>
              <w:bottom w:val="single" w:color="000000" w:sz="2" w:space="0"/>
            </w:tcBorders>
            <w:vAlign w:val="top"/>
          </w:tcPr>
          <w:p w14:paraId="05F54958">
            <w:pPr>
              <w:spacing w:line="396" w:lineRule="auto"/>
              <w:rPr>
                <w:rFonts w:ascii="Arial"/>
                <w:sz w:val="21"/>
              </w:rPr>
            </w:pPr>
          </w:p>
          <w:p w14:paraId="2EB1150D">
            <w:pPr>
              <w:pStyle w:val="48"/>
              <w:spacing w:before="65" w:line="219" w:lineRule="auto"/>
              <w:ind w:left="54"/>
              <w:rPr>
                <w:sz w:val="20"/>
                <w:szCs w:val="20"/>
              </w:rPr>
            </w:pPr>
            <w:r>
              <w:rPr>
                <w:sz w:val="20"/>
                <w:szCs w:val="20"/>
              </w:rPr>
              <w:t>关于持续加大财政科技投入，推动加快建设国家区域科技创新中心的建议</w:t>
            </w:r>
          </w:p>
        </w:tc>
        <w:tc>
          <w:tcPr>
            <w:tcW w:w="3250" w:type="dxa"/>
            <w:tcBorders>
              <w:top w:val="single" w:color="000000" w:sz="2" w:space="0"/>
              <w:bottom w:val="single" w:color="000000" w:sz="2" w:space="0"/>
            </w:tcBorders>
            <w:vAlign w:val="top"/>
          </w:tcPr>
          <w:p w14:paraId="2D900DED">
            <w:pPr>
              <w:pStyle w:val="48"/>
              <w:spacing w:before="115" w:line="301" w:lineRule="auto"/>
              <w:ind w:left="77" w:firstLine="19"/>
              <w:jc w:val="both"/>
              <w:rPr>
                <w:sz w:val="20"/>
                <w:szCs w:val="20"/>
              </w:rPr>
            </w:pPr>
            <w:r>
              <w:rPr>
                <w:spacing w:val="-12"/>
                <w:sz w:val="20"/>
                <w:szCs w:val="20"/>
              </w:rPr>
              <w:t>孔曙光、许文恭、谢素原、</w:t>
            </w:r>
            <w:r>
              <w:rPr>
                <w:spacing w:val="8"/>
                <w:sz w:val="20"/>
                <w:szCs w:val="20"/>
              </w:rPr>
              <w:t xml:space="preserve"> </w:t>
            </w:r>
            <w:r>
              <w:rPr>
                <w:spacing w:val="-10"/>
                <w:sz w:val="20"/>
                <w:szCs w:val="20"/>
              </w:rPr>
              <w:t>夏宁邵、明艳林、张文惠、</w:t>
            </w:r>
            <w:r>
              <w:rPr>
                <w:spacing w:val="4"/>
                <w:sz w:val="20"/>
                <w:szCs w:val="20"/>
              </w:rPr>
              <w:t xml:space="preserve"> </w:t>
            </w:r>
            <w:r>
              <w:rPr>
                <w:spacing w:val="-3"/>
                <w:sz w:val="20"/>
                <w:szCs w:val="20"/>
              </w:rPr>
              <w:t>陈宏宇</w:t>
            </w:r>
          </w:p>
        </w:tc>
      </w:tr>
      <w:tr w14:paraId="2B4D5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100" w:type="dxa"/>
            <w:gridSpan w:val="2"/>
            <w:tcBorders>
              <w:top w:val="single" w:color="000000" w:sz="2" w:space="0"/>
              <w:bottom w:val="single" w:color="000000" w:sz="2" w:space="0"/>
            </w:tcBorders>
            <w:vAlign w:val="top"/>
          </w:tcPr>
          <w:p w14:paraId="4F077055">
            <w:pPr>
              <w:pStyle w:val="48"/>
              <w:spacing w:before="146" w:line="219" w:lineRule="auto"/>
              <w:ind w:left="54"/>
              <w:rPr>
                <w:sz w:val="20"/>
                <w:szCs w:val="20"/>
              </w:rPr>
            </w:pPr>
            <w:r>
              <w:rPr>
                <w:spacing w:val="-1"/>
                <w:sz w:val="20"/>
                <w:szCs w:val="20"/>
              </w:rPr>
              <w:t>错位竞争，推动专业国产人工智能大模型创新发展</w:t>
            </w:r>
          </w:p>
        </w:tc>
        <w:tc>
          <w:tcPr>
            <w:tcW w:w="3250" w:type="dxa"/>
            <w:tcBorders>
              <w:top w:val="single" w:color="000000" w:sz="2" w:space="0"/>
              <w:bottom w:val="single" w:color="000000" w:sz="2" w:space="0"/>
            </w:tcBorders>
            <w:vAlign w:val="top"/>
          </w:tcPr>
          <w:p w14:paraId="73D9815A">
            <w:pPr>
              <w:pStyle w:val="48"/>
              <w:spacing w:before="145" w:line="219" w:lineRule="auto"/>
              <w:ind w:left="77"/>
              <w:rPr>
                <w:sz w:val="20"/>
                <w:szCs w:val="20"/>
              </w:rPr>
            </w:pPr>
            <w:r>
              <w:rPr>
                <w:spacing w:val="1"/>
                <w:sz w:val="20"/>
                <w:szCs w:val="20"/>
              </w:rPr>
              <w:t>民盟厦门市委员会</w:t>
            </w:r>
          </w:p>
        </w:tc>
      </w:tr>
      <w:tr w14:paraId="5D21D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00" w:type="dxa"/>
            <w:gridSpan w:val="2"/>
            <w:tcBorders>
              <w:top w:val="single" w:color="000000" w:sz="2" w:space="0"/>
              <w:bottom w:val="single" w:color="000000" w:sz="2" w:space="0"/>
            </w:tcBorders>
            <w:vAlign w:val="top"/>
          </w:tcPr>
          <w:p w14:paraId="300243F0">
            <w:pPr>
              <w:pStyle w:val="48"/>
              <w:spacing w:before="146" w:line="219" w:lineRule="auto"/>
              <w:ind w:left="54"/>
              <w:rPr>
                <w:sz w:val="20"/>
                <w:szCs w:val="20"/>
              </w:rPr>
            </w:pPr>
            <w:r>
              <w:rPr>
                <w:sz w:val="20"/>
                <w:szCs w:val="20"/>
              </w:rPr>
              <w:t>完善碳化硅产业链，助力厦门第三代半导体产业发展</w:t>
            </w:r>
          </w:p>
        </w:tc>
        <w:tc>
          <w:tcPr>
            <w:tcW w:w="3250" w:type="dxa"/>
            <w:tcBorders>
              <w:top w:val="single" w:color="000000" w:sz="2" w:space="0"/>
              <w:bottom w:val="single" w:color="000000" w:sz="2" w:space="0"/>
            </w:tcBorders>
            <w:vAlign w:val="top"/>
          </w:tcPr>
          <w:p w14:paraId="2632903F">
            <w:pPr>
              <w:pStyle w:val="48"/>
              <w:spacing w:before="147" w:line="220" w:lineRule="auto"/>
              <w:ind w:left="77"/>
              <w:rPr>
                <w:sz w:val="20"/>
                <w:szCs w:val="20"/>
              </w:rPr>
            </w:pPr>
            <w:r>
              <w:rPr>
                <w:sz w:val="20"/>
                <w:szCs w:val="20"/>
              </w:rPr>
              <w:t>台盟界别活动小组</w:t>
            </w:r>
          </w:p>
        </w:tc>
      </w:tr>
      <w:tr w14:paraId="4A6A7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00" w:type="dxa"/>
            <w:gridSpan w:val="2"/>
            <w:tcBorders>
              <w:top w:val="single" w:color="000000" w:sz="2" w:space="0"/>
              <w:bottom w:val="single" w:color="000000" w:sz="2" w:space="0"/>
            </w:tcBorders>
            <w:vAlign w:val="top"/>
          </w:tcPr>
          <w:p w14:paraId="191D38CE">
            <w:pPr>
              <w:pStyle w:val="48"/>
              <w:spacing w:before="145" w:line="219" w:lineRule="auto"/>
              <w:ind w:left="54"/>
              <w:rPr>
                <w:sz w:val="20"/>
                <w:szCs w:val="20"/>
              </w:rPr>
            </w:pPr>
            <w:r>
              <w:rPr>
                <w:sz w:val="20"/>
                <w:szCs w:val="20"/>
              </w:rPr>
              <w:t>优化产业生态，筑牢厦门生物经济发展后盾</w:t>
            </w:r>
          </w:p>
        </w:tc>
        <w:tc>
          <w:tcPr>
            <w:tcW w:w="3250" w:type="dxa"/>
            <w:tcBorders>
              <w:top w:val="single" w:color="000000" w:sz="2" w:space="0"/>
              <w:bottom w:val="single" w:color="000000" w:sz="2" w:space="0"/>
            </w:tcBorders>
            <w:vAlign w:val="top"/>
          </w:tcPr>
          <w:p w14:paraId="395F3A47">
            <w:pPr>
              <w:pStyle w:val="48"/>
              <w:spacing w:before="145" w:line="219" w:lineRule="auto"/>
              <w:ind w:left="77"/>
              <w:rPr>
                <w:sz w:val="20"/>
                <w:szCs w:val="20"/>
              </w:rPr>
            </w:pPr>
            <w:r>
              <w:rPr>
                <w:spacing w:val="-1"/>
                <w:sz w:val="20"/>
                <w:szCs w:val="20"/>
              </w:rPr>
              <w:t>科技和科协界别活动小组</w:t>
            </w:r>
          </w:p>
        </w:tc>
      </w:tr>
      <w:tr w14:paraId="01A19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00" w:type="dxa"/>
            <w:gridSpan w:val="2"/>
            <w:tcBorders>
              <w:top w:val="single" w:color="000000" w:sz="2" w:space="0"/>
              <w:bottom w:val="single" w:color="000000" w:sz="2" w:space="0"/>
            </w:tcBorders>
            <w:vAlign w:val="top"/>
          </w:tcPr>
          <w:p w14:paraId="2EBA903D">
            <w:pPr>
              <w:pStyle w:val="48"/>
              <w:spacing w:before="145" w:line="219" w:lineRule="auto"/>
              <w:ind w:left="54"/>
              <w:rPr>
                <w:sz w:val="20"/>
                <w:szCs w:val="20"/>
              </w:rPr>
            </w:pPr>
            <w:r>
              <w:rPr>
                <w:sz w:val="20"/>
                <w:szCs w:val="20"/>
              </w:rPr>
              <w:t>关于推动厦门飞机资产管理产业发展的对策建议</w:t>
            </w:r>
          </w:p>
        </w:tc>
        <w:tc>
          <w:tcPr>
            <w:tcW w:w="3250" w:type="dxa"/>
            <w:tcBorders>
              <w:top w:val="single" w:color="000000" w:sz="2" w:space="0"/>
              <w:bottom w:val="single" w:color="000000" w:sz="2" w:space="0"/>
            </w:tcBorders>
            <w:vAlign w:val="top"/>
          </w:tcPr>
          <w:p w14:paraId="00BBA94F">
            <w:pPr>
              <w:pStyle w:val="48"/>
              <w:spacing w:before="147" w:line="220" w:lineRule="auto"/>
              <w:ind w:left="77"/>
              <w:rPr>
                <w:sz w:val="20"/>
                <w:szCs w:val="20"/>
              </w:rPr>
            </w:pPr>
            <w:r>
              <w:rPr>
                <w:spacing w:val="-2"/>
                <w:sz w:val="20"/>
                <w:szCs w:val="20"/>
              </w:rPr>
              <w:t>经济界别活动小组</w:t>
            </w:r>
          </w:p>
        </w:tc>
      </w:tr>
      <w:tr w14:paraId="297E3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3767" w:type="dxa"/>
            <w:vMerge w:val="restart"/>
            <w:tcBorders>
              <w:top w:val="single" w:color="000000" w:sz="2" w:space="0"/>
              <w:bottom w:val="nil"/>
            </w:tcBorders>
            <w:vAlign w:val="top"/>
          </w:tcPr>
          <w:p w14:paraId="7CF8AA4B">
            <w:pPr>
              <w:spacing w:line="468" w:lineRule="auto"/>
              <w:rPr>
                <w:rFonts w:ascii="Arial"/>
                <w:sz w:val="21"/>
              </w:rPr>
            </w:pPr>
          </w:p>
          <w:p w14:paraId="0477DFFA">
            <w:pPr>
              <w:pStyle w:val="48"/>
              <w:spacing w:before="65" w:line="317" w:lineRule="auto"/>
              <w:ind w:left="83" w:right="237" w:hanging="9"/>
              <w:rPr>
                <w:sz w:val="20"/>
                <w:szCs w:val="20"/>
              </w:rPr>
            </w:pPr>
            <w:r>
              <w:rPr>
                <w:spacing w:val="-1"/>
                <w:sz w:val="20"/>
                <w:szCs w:val="20"/>
              </w:rPr>
              <w:t>关于逐步完善我市中小学生午休硬件</w:t>
            </w:r>
            <w:r>
              <w:rPr>
                <w:spacing w:val="3"/>
                <w:sz w:val="20"/>
                <w:szCs w:val="20"/>
              </w:rPr>
              <w:t xml:space="preserve"> </w:t>
            </w:r>
            <w:r>
              <w:rPr>
                <w:spacing w:val="1"/>
                <w:sz w:val="20"/>
                <w:szCs w:val="20"/>
              </w:rPr>
              <w:t>设施的建议</w:t>
            </w:r>
          </w:p>
        </w:tc>
        <w:tc>
          <w:tcPr>
            <w:tcW w:w="3333" w:type="dxa"/>
            <w:tcBorders>
              <w:top w:val="single" w:color="000000" w:sz="2" w:space="0"/>
              <w:bottom w:val="single" w:color="000000" w:sz="2" w:space="0"/>
            </w:tcBorders>
            <w:vAlign w:val="top"/>
          </w:tcPr>
          <w:p w14:paraId="397A937D">
            <w:pPr>
              <w:pStyle w:val="48"/>
              <w:spacing w:before="126" w:line="308" w:lineRule="auto"/>
              <w:ind w:left="43" w:right="172" w:firstLine="40"/>
              <w:rPr>
                <w:sz w:val="20"/>
                <w:szCs w:val="20"/>
              </w:rPr>
            </w:pPr>
            <w:r>
              <w:rPr>
                <w:spacing w:val="-1"/>
                <w:sz w:val="20"/>
                <w:szCs w:val="20"/>
              </w:rPr>
              <w:t>关于逐步完善我市中小学生午休硬</w:t>
            </w:r>
            <w:r>
              <w:rPr>
                <w:spacing w:val="3"/>
                <w:sz w:val="20"/>
                <w:szCs w:val="20"/>
              </w:rPr>
              <w:t xml:space="preserve"> </w:t>
            </w:r>
            <w:r>
              <w:rPr>
                <w:spacing w:val="-1"/>
                <w:sz w:val="20"/>
                <w:szCs w:val="20"/>
              </w:rPr>
              <w:t>件设施的建议</w:t>
            </w:r>
          </w:p>
        </w:tc>
        <w:tc>
          <w:tcPr>
            <w:tcW w:w="3250" w:type="dxa"/>
            <w:tcBorders>
              <w:top w:val="single" w:color="000000" w:sz="2" w:space="0"/>
              <w:bottom w:val="single" w:color="000000" w:sz="2" w:space="0"/>
            </w:tcBorders>
            <w:vAlign w:val="top"/>
          </w:tcPr>
          <w:p w14:paraId="10B9FF7D">
            <w:pPr>
              <w:rPr>
                <w:rFonts w:ascii="Arial"/>
                <w:sz w:val="21"/>
              </w:rPr>
            </w:pPr>
          </w:p>
          <w:p w14:paraId="59E26B67">
            <w:pPr>
              <w:pStyle w:val="48"/>
              <w:spacing w:before="65" w:line="220" w:lineRule="auto"/>
              <w:ind w:left="77"/>
              <w:rPr>
                <w:sz w:val="20"/>
                <w:szCs w:val="20"/>
              </w:rPr>
            </w:pPr>
            <w:r>
              <w:rPr>
                <w:spacing w:val="-1"/>
                <w:sz w:val="20"/>
                <w:szCs w:val="20"/>
              </w:rPr>
              <w:t>妇联界别活动小组</w:t>
            </w:r>
          </w:p>
        </w:tc>
      </w:tr>
      <w:tr w14:paraId="2CEF5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3767" w:type="dxa"/>
            <w:vMerge w:val="continue"/>
            <w:tcBorders>
              <w:top w:val="nil"/>
              <w:bottom w:val="single" w:color="000000" w:sz="2" w:space="0"/>
            </w:tcBorders>
            <w:vAlign w:val="top"/>
          </w:tcPr>
          <w:p w14:paraId="550E0BA5">
            <w:pPr>
              <w:rPr>
                <w:rFonts w:ascii="Arial"/>
                <w:sz w:val="21"/>
              </w:rPr>
            </w:pPr>
          </w:p>
        </w:tc>
        <w:tc>
          <w:tcPr>
            <w:tcW w:w="3333" w:type="dxa"/>
            <w:tcBorders>
              <w:top w:val="single" w:color="000000" w:sz="2" w:space="0"/>
              <w:bottom w:val="single" w:color="000000" w:sz="2" w:space="0"/>
            </w:tcBorders>
            <w:vAlign w:val="top"/>
          </w:tcPr>
          <w:p w14:paraId="379528A7">
            <w:pPr>
              <w:pStyle w:val="48"/>
              <w:spacing w:before="156" w:line="261" w:lineRule="auto"/>
              <w:ind w:left="43" w:right="152" w:firstLine="40"/>
              <w:rPr>
                <w:sz w:val="20"/>
                <w:szCs w:val="20"/>
              </w:rPr>
            </w:pPr>
            <w:r>
              <w:rPr>
                <w:sz w:val="20"/>
                <w:szCs w:val="20"/>
              </w:rPr>
              <w:t>关于改进学校午休条件、提升学生</w:t>
            </w:r>
            <w:r>
              <w:rPr>
                <w:spacing w:val="8"/>
                <w:sz w:val="20"/>
                <w:szCs w:val="20"/>
              </w:rPr>
              <w:t xml:space="preserve"> </w:t>
            </w:r>
            <w:r>
              <w:rPr>
                <w:spacing w:val="-2"/>
                <w:sz w:val="20"/>
                <w:szCs w:val="20"/>
              </w:rPr>
              <w:t>午休质量的建议</w:t>
            </w:r>
          </w:p>
        </w:tc>
        <w:tc>
          <w:tcPr>
            <w:tcW w:w="3250" w:type="dxa"/>
            <w:tcBorders>
              <w:top w:val="single" w:color="000000" w:sz="2" w:space="0"/>
              <w:bottom w:val="single" w:color="000000" w:sz="2" w:space="0"/>
            </w:tcBorders>
            <w:vAlign w:val="top"/>
          </w:tcPr>
          <w:p w14:paraId="22FD3F3D">
            <w:pPr>
              <w:pStyle w:val="48"/>
              <w:spacing w:before="297" w:line="219" w:lineRule="auto"/>
              <w:ind w:left="77"/>
              <w:rPr>
                <w:sz w:val="20"/>
                <w:szCs w:val="20"/>
              </w:rPr>
            </w:pPr>
            <w:r>
              <w:rPr>
                <w:spacing w:val="5"/>
                <w:sz w:val="20"/>
                <w:szCs w:val="20"/>
              </w:rPr>
              <w:t>杨筱娟</w:t>
            </w:r>
          </w:p>
        </w:tc>
      </w:tr>
      <w:tr w14:paraId="6D518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7100" w:type="dxa"/>
            <w:gridSpan w:val="2"/>
            <w:tcBorders>
              <w:top w:val="single" w:color="000000" w:sz="2" w:space="0"/>
              <w:bottom w:val="single" w:color="000000" w:sz="2" w:space="0"/>
            </w:tcBorders>
            <w:vAlign w:val="top"/>
          </w:tcPr>
          <w:p w14:paraId="21573E19">
            <w:pPr>
              <w:spacing w:line="251" w:lineRule="auto"/>
              <w:rPr>
                <w:rFonts w:ascii="Arial"/>
                <w:sz w:val="21"/>
              </w:rPr>
            </w:pPr>
          </w:p>
          <w:p w14:paraId="5CBE4177">
            <w:pPr>
              <w:pStyle w:val="48"/>
              <w:spacing w:before="65" w:line="219" w:lineRule="auto"/>
              <w:ind w:left="94"/>
              <w:rPr>
                <w:sz w:val="20"/>
                <w:szCs w:val="20"/>
              </w:rPr>
            </w:pPr>
            <w:r>
              <w:rPr>
                <w:sz w:val="20"/>
                <w:szCs w:val="20"/>
              </w:rPr>
              <w:t>关于进一步种植、开发、利用市树凤凰木，助力厦门提升城市竞争力的建议</w:t>
            </w:r>
          </w:p>
        </w:tc>
        <w:tc>
          <w:tcPr>
            <w:tcW w:w="3250" w:type="dxa"/>
            <w:tcBorders>
              <w:top w:val="single" w:color="000000" w:sz="2" w:space="0"/>
              <w:bottom w:val="single" w:color="000000" w:sz="2" w:space="0"/>
            </w:tcBorders>
            <w:vAlign w:val="top"/>
          </w:tcPr>
          <w:p w14:paraId="61F83D87">
            <w:pPr>
              <w:pStyle w:val="48"/>
              <w:spacing w:before="138" w:line="307" w:lineRule="auto"/>
              <w:ind w:left="106" w:right="93" w:hanging="29"/>
              <w:rPr>
                <w:sz w:val="20"/>
                <w:szCs w:val="20"/>
              </w:rPr>
            </w:pPr>
            <w:r>
              <w:rPr>
                <w:spacing w:val="-1"/>
                <w:sz w:val="20"/>
                <w:szCs w:val="20"/>
              </w:rPr>
              <w:t>孔速婷、黄峰、徐艳、欧</w:t>
            </w:r>
            <w:r>
              <w:rPr>
                <w:spacing w:val="1"/>
                <w:sz w:val="20"/>
                <w:szCs w:val="20"/>
              </w:rPr>
              <w:t xml:space="preserve"> </w:t>
            </w:r>
            <w:r>
              <w:rPr>
                <w:sz w:val="20"/>
                <w:szCs w:val="20"/>
              </w:rPr>
              <w:t>阳玲、陈颢颖、颜云蔚</w:t>
            </w:r>
          </w:p>
        </w:tc>
      </w:tr>
      <w:tr w14:paraId="73DC8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00" w:type="dxa"/>
            <w:gridSpan w:val="2"/>
            <w:tcBorders>
              <w:top w:val="single" w:color="000000" w:sz="2" w:space="0"/>
              <w:bottom w:val="single" w:color="000000" w:sz="2" w:space="0"/>
            </w:tcBorders>
            <w:vAlign w:val="top"/>
          </w:tcPr>
          <w:p w14:paraId="38DD07EF">
            <w:pPr>
              <w:pStyle w:val="48"/>
              <w:spacing w:before="147" w:line="219" w:lineRule="auto"/>
              <w:ind w:left="54"/>
              <w:rPr>
                <w:sz w:val="20"/>
                <w:szCs w:val="20"/>
              </w:rPr>
            </w:pPr>
            <w:r>
              <w:rPr>
                <w:sz w:val="20"/>
                <w:szCs w:val="20"/>
              </w:rPr>
              <w:t>亟待促进厦门市互联网订餐安全监管的对策建议</w:t>
            </w:r>
          </w:p>
        </w:tc>
        <w:tc>
          <w:tcPr>
            <w:tcW w:w="3250" w:type="dxa"/>
            <w:tcBorders>
              <w:top w:val="single" w:color="000000" w:sz="2" w:space="0"/>
              <w:bottom w:val="single" w:color="000000" w:sz="2" w:space="0"/>
            </w:tcBorders>
            <w:vAlign w:val="top"/>
          </w:tcPr>
          <w:p w14:paraId="4F459691">
            <w:pPr>
              <w:pStyle w:val="48"/>
              <w:spacing w:before="147" w:line="219" w:lineRule="auto"/>
              <w:ind w:left="77"/>
              <w:rPr>
                <w:sz w:val="20"/>
                <w:szCs w:val="20"/>
              </w:rPr>
            </w:pPr>
            <w:r>
              <w:rPr>
                <w:spacing w:val="1"/>
                <w:sz w:val="20"/>
                <w:szCs w:val="20"/>
              </w:rPr>
              <w:t>民革厦门市委员会</w:t>
            </w:r>
          </w:p>
        </w:tc>
      </w:tr>
      <w:tr w14:paraId="2D17E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00" w:type="dxa"/>
            <w:gridSpan w:val="2"/>
            <w:tcBorders>
              <w:top w:val="single" w:color="000000" w:sz="2" w:space="0"/>
              <w:bottom w:val="single" w:color="000000" w:sz="2" w:space="0"/>
            </w:tcBorders>
            <w:vAlign w:val="top"/>
          </w:tcPr>
          <w:p w14:paraId="68014B1F">
            <w:pPr>
              <w:pStyle w:val="48"/>
              <w:spacing w:before="147" w:line="219" w:lineRule="auto"/>
              <w:ind w:left="54"/>
              <w:rPr>
                <w:sz w:val="20"/>
                <w:szCs w:val="20"/>
              </w:rPr>
            </w:pPr>
            <w:r>
              <w:rPr>
                <w:spacing w:val="-1"/>
                <w:sz w:val="20"/>
                <w:szCs w:val="20"/>
              </w:rPr>
              <w:t>完善村(居)法律顾问制度，助力公共法律服务最后一公里</w:t>
            </w:r>
          </w:p>
        </w:tc>
        <w:tc>
          <w:tcPr>
            <w:tcW w:w="3250" w:type="dxa"/>
            <w:tcBorders>
              <w:top w:val="single" w:color="000000" w:sz="2" w:space="0"/>
              <w:bottom w:val="single" w:color="000000" w:sz="2" w:space="0"/>
            </w:tcBorders>
            <w:vAlign w:val="top"/>
          </w:tcPr>
          <w:p w14:paraId="7F87375B">
            <w:pPr>
              <w:pStyle w:val="48"/>
              <w:spacing w:before="147" w:line="219" w:lineRule="auto"/>
              <w:ind w:left="77"/>
              <w:rPr>
                <w:sz w:val="20"/>
                <w:szCs w:val="20"/>
              </w:rPr>
            </w:pPr>
            <w:r>
              <w:rPr>
                <w:spacing w:val="1"/>
                <w:sz w:val="20"/>
                <w:szCs w:val="20"/>
              </w:rPr>
              <w:t>民盟厦门市委员会</w:t>
            </w:r>
          </w:p>
        </w:tc>
      </w:tr>
      <w:tr w14:paraId="79FC2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00" w:type="dxa"/>
            <w:gridSpan w:val="2"/>
            <w:tcBorders>
              <w:top w:val="single" w:color="000000" w:sz="2" w:space="0"/>
              <w:bottom w:val="single" w:color="000000" w:sz="2" w:space="0"/>
            </w:tcBorders>
            <w:vAlign w:val="top"/>
          </w:tcPr>
          <w:p w14:paraId="122AD006">
            <w:pPr>
              <w:pStyle w:val="48"/>
              <w:spacing w:before="147" w:line="219" w:lineRule="auto"/>
              <w:ind w:left="54"/>
              <w:rPr>
                <w:sz w:val="20"/>
                <w:szCs w:val="20"/>
              </w:rPr>
            </w:pPr>
            <w:r>
              <w:rPr>
                <w:sz w:val="20"/>
                <w:szCs w:val="20"/>
              </w:rPr>
              <w:t>厦门解决社区长者食堂可持续发展难题的若干建议</w:t>
            </w:r>
          </w:p>
        </w:tc>
        <w:tc>
          <w:tcPr>
            <w:tcW w:w="3250" w:type="dxa"/>
            <w:tcBorders>
              <w:top w:val="single" w:color="000000" w:sz="2" w:space="0"/>
              <w:bottom w:val="single" w:color="000000" w:sz="2" w:space="0"/>
            </w:tcBorders>
            <w:vAlign w:val="top"/>
          </w:tcPr>
          <w:p w14:paraId="07CB2CFC">
            <w:pPr>
              <w:pStyle w:val="48"/>
              <w:spacing w:before="147" w:line="219" w:lineRule="auto"/>
              <w:ind w:left="77"/>
              <w:rPr>
                <w:sz w:val="20"/>
                <w:szCs w:val="20"/>
              </w:rPr>
            </w:pPr>
            <w:r>
              <w:rPr>
                <w:spacing w:val="1"/>
                <w:sz w:val="20"/>
                <w:szCs w:val="20"/>
              </w:rPr>
              <w:t>民盟厦门市委员会</w:t>
            </w:r>
          </w:p>
        </w:tc>
      </w:tr>
      <w:tr w14:paraId="13C3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00" w:type="dxa"/>
            <w:gridSpan w:val="2"/>
            <w:tcBorders>
              <w:top w:val="single" w:color="000000" w:sz="2" w:space="0"/>
              <w:bottom w:val="single" w:color="000000" w:sz="2" w:space="0"/>
            </w:tcBorders>
            <w:vAlign w:val="top"/>
          </w:tcPr>
          <w:p w14:paraId="7202084A">
            <w:pPr>
              <w:pStyle w:val="48"/>
              <w:spacing w:before="147" w:line="219" w:lineRule="auto"/>
              <w:ind w:left="54"/>
              <w:rPr>
                <w:sz w:val="20"/>
                <w:szCs w:val="20"/>
              </w:rPr>
            </w:pPr>
            <w:r>
              <w:rPr>
                <w:sz w:val="20"/>
                <w:szCs w:val="20"/>
              </w:rPr>
              <w:t>进一步提高我市心理健康服务水平，促进高</w:t>
            </w:r>
            <w:r>
              <w:rPr>
                <w:spacing w:val="-1"/>
                <w:sz w:val="20"/>
                <w:szCs w:val="20"/>
              </w:rPr>
              <w:t>水平健康之城建设</w:t>
            </w:r>
          </w:p>
        </w:tc>
        <w:tc>
          <w:tcPr>
            <w:tcW w:w="3250" w:type="dxa"/>
            <w:tcBorders>
              <w:top w:val="single" w:color="000000" w:sz="2" w:space="0"/>
              <w:bottom w:val="single" w:color="000000" w:sz="2" w:space="0"/>
            </w:tcBorders>
            <w:vAlign w:val="top"/>
          </w:tcPr>
          <w:p w14:paraId="748B4A87">
            <w:pPr>
              <w:pStyle w:val="48"/>
              <w:spacing w:before="149" w:line="219" w:lineRule="auto"/>
              <w:ind w:left="77"/>
              <w:rPr>
                <w:sz w:val="20"/>
                <w:szCs w:val="20"/>
              </w:rPr>
            </w:pPr>
            <w:r>
              <w:rPr>
                <w:spacing w:val="-1"/>
                <w:sz w:val="20"/>
                <w:szCs w:val="20"/>
              </w:rPr>
              <w:t>农工党界别活动小组</w:t>
            </w:r>
          </w:p>
        </w:tc>
      </w:tr>
      <w:tr w14:paraId="2C996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7100" w:type="dxa"/>
            <w:gridSpan w:val="2"/>
            <w:tcBorders>
              <w:top w:val="single" w:color="000000" w:sz="2" w:space="0"/>
              <w:bottom w:val="single" w:color="000000" w:sz="2" w:space="0"/>
            </w:tcBorders>
            <w:vAlign w:val="top"/>
          </w:tcPr>
          <w:p w14:paraId="1828E7CA">
            <w:pPr>
              <w:pStyle w:val="48"/>
              <w:spacing w:before="147" w:line="219" w:lineRule="auto"/>
              <w:ind w:left="54"/>
              <w:rPr>
                <w:sz w:val="20"/>
                <w:szCs w:val="20"/>
              </w:rPr>
            </w:pPr>
            <w:r>
              <w:rPr>
                <w:sz w:val="20"/>
                <w:szCs w:val="20"/>
              </w:rPr>
              <w:t>关于我市健康步道建设及运营的几点建议</w:t>
            </w:r>
          </w:p>
        </w:tc>
        <w:tc>
          <w:tcPr>
            <w:tcW w:w="3250" w:type="dxa"/>
            <w:tcBorders>
              <w:top w:val="single" w:color="000000" w:sz="2" w:space="0"/>
              <w:bottom w:val="single" w:color="000000" w:sz="2" w:space="0"/>
            </w:tcBorders>
            <w:vAlign w:val="top"/>
          </w:tcPr>
          <w:p w14:paraId="3F5BA9CE">
            <w:pPr>
              <w:pStyle w:val="48"/>
              <w:spacing w:before="149" w:line="220" w:lineRule="auto"/>
              <w:ind w:left="77"/>
              <w:rPr>
                <w:sz w:val="20"/>
                <w:szCs w:val="20"/>
              </w:rPr>
            </w:pPr>
            <w:r>
              <w:rPr>
                <w:sz w:val="20"/>
                <w:szCs w:val="20"/>
              </w:rPr>
              <w:t>民建界别活动小组</w:t>
            </w:r>
          </w:p>
        </w:tc>
      </w:tr>
      <w:tr w14:paraId="31DF2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7100" w:type="dxa"/>
            <w:gridSpan w:val="2"/>
            <w:tcBorders>
              <w:top w:val="single" w:color="000000" w:sz="2" w:space="0"/>
              <w:bottom w:val="single" w:color="000000" w:sz="2" w:space="0"/>
            </w:tcBorders>
            <w:vAlign w:val="top"/>
          </w:tcPr>
          <w:p w14:paraId="2A52A43C">
            <w:pPr>
              <w:pStyle w:val="48"/>
              <w:spacing w:before="159" w:line="219" w:lineRule="auto"/>
              <w:ind w:left="54"/>
              <w:rPr>
                <w:sz w:val="20"/>
                <w:szCs w:val="20"/>
              </w:rPr>
            </w:pPr>
            <w:r>
              <w:rPr>
                <w:sz w:val="20"/>
                <w:szCs w:val="20"/>
              </w:rPr>
              <w:t>关于融合医养学，大力推进“养老+教育”新模式的建议</w:t>
            </w:r>
          </w:p>
        </w:tc>
        <w:tc>
          <w:tcPr>
            <w:tcW w:w="3250" w:type="dxa"/>
            <w:tcBorders>
              <w:top w:val="single" w:color="000000" w:sz="2" w:space="0"/>
              <w:bottom w:val="single" w:color="000000" w:sz="2" w:space="0"/>
            </w:tcBorders>
            <w:vAlign w:val="top"/>
          </w:tcPr>
          <w:p w14:paraId="7D1B9E0D">
            <w:pPr>
              <w:pStyle w:val="48"/>
              <w:spacing w:before="159" w:line="219" w:lineRule="auto"/>
              <w:ind w:left="97"/>
              <w:rPr>
                <w:sz w:val="20"/>
                <w:szCs w:val="20"/>
              </w:rPr>
            </w:pPr>
            <w:r>
              <w:rPr>
                <w:spacing w:val="-1"/>
                <w:sz w:val="20"/>
                <w:szCs w:val="20"/>
              </w:rPr>
              <w:t>无党派人士界别活动小组</w:t>
            </w:r>
          </w:p>
        </w:tc>
      </w:tr>
    </w:tbl>
    <w:p w14:paraId="58B1F052">
      <w:pPr>
        <w:pStyle w:val="13"/>
        <w:rPr>
          <w:rFonts w:hint="eastAsia"/>
        </w:rPr>
      </w:pPr>
    </w:p>
    <w:tbl>
      <w:tblPr>
        <w:tblStyle w:val="47"/>
        <w:tblW w:w="7394" w:type="dxa"/>
        <w:tblInd w:w="1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25"/>
        <w:gridCol w:w="4969"/>
      </w:tblGrid>
      <w:tr w14:paraId="1D130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7394" w:type="dxa"/>
            <w:gridSpan w:val="2"/>
            <w:shd w:val="clear" w:color="auto" w:fill="4F81BD" w:themeFill="accent1"/>
            <w:vAlign w:val="top"/>
          </w:tcPr>
          <w:p w14:paraId="21C3095C">
            <w:pPr>
              <w:pStyle w:val="48"/>
              <w:spacing w:before="77" w:line="207" w:lineRule="auto"/>
              <w:ind w:left="1731"/>
              <w:rPr>
                <w:color w:val="auto"/>
                <w:sz w:val="28"/>
                <w:szCs w:val="28"/>
              </w:rPr>
            </w:pPr>
            <w:r>
              <w:rPr>
                <w:b/>
                <w:bCs/>
                <w:color w:val="auto"/>
                <w:spacing w:val="-2"/>
                <w:sz w:val="28"/>
                <w:szCs w:val="28"/>
              </w:rPr>
              <w:t>2024年度优秀市政协委员</w:t>
            </w:r>
          </w:p>
        </w:tc>
      </w:tr>
      <w:tr w14:paraId="24DBF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25" w:type="dxa"/>
            <w:vAlign w:val="top"/>
          </w:tcPr>
          <w:p w14:paraId="5ABCE89A">
            <w:pPr>
              <w:pStyle w:val="48"/>
              <w:spacing w:before="116" w:line="219" w:lineRule="auto"/>
              <w:ind w:left="767"/>
              <w:jc w:val="both"/>
            </w:pPr>
            <w:r>
              <w:rPr>
                <w:b/>
                <w:bCs/>
                <w:spacing w:val="-5"/>
              </w:rPr>
              <w:t>王朝晖</w:t>
            </w:r>
          </w:p>
        </w:tc>
        <w:tc>
          <w:tcPr>
            <w:tcW w:w="4969" w:type="dxa"/>
            <w:vAlign w:val="top"/>
          </w:tcPr>
          <w:p w14:paraId="3963B8CB">
            <w:pPr>
              <w:pStyle w:val="48"/>
              <w:spacing w:before="119" w:line="219" w:lineRule="auto"/>
              <w:ind w:left="2262"/>
              <w:jc w:val="both"/>
            </w:pPr>
            <w:r>
              <w:rPr>
                <w:spacing w:val="-1"/>
              </w:rPr>
              <w:t>农工党界别活动小组</w:t>
            </w:r>
          </w:p>
        </w:tc>
      </w:tr>
      <w:tr w14:paraId="4FADD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71C7B663">
            <w:pPr>
              <w:pStyle w:val="48"/>
              <w:spacing w:before="67" w:line="219" w:lineRule="auto"/>
              <w:ind w:left="767"/>
              <w:jc w:val="both"/>
            </w:pPr>
            <w:r>
              <w:rPr>
                <w:b/>
                <w:bCs/>
                <w:spacing w:val="-5"/>
              </w:rPr>
              <w:t>孔速婷</w:t>
            </w:r>
          </w:p>
        </w:tc>
        <w:tc>
          <w:tcPr>
            <w:tcW w:w="4969" w:type="dxa"/>
            <w:vAlign w:val="top"/>
          </w:tcPr>
          <w:p w14:paraId="7D70F493">
            <w:pPr>
              <w:pStyle w:val="48"/>
              <w:spacing w:before="70" w:line="219" w:lineRule="auto"/>
              <w:ind w:left="1792"/>
              <w:jc w:val="both"/>
            </w:pPr>
            <w:r>
              <w:rPr>
                <w:spacing w:val="2"/>
              </w:rPr>
              <w:t>中共、特邀一界别活动小组(1)</w:t>
            </w:r>
          </w:p>
        </w:tc>
      </w:tr>
      <w:tr w14:paraId="4C2C3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25" w:type="dxa"/>
            <w:vAlign w:val="top"/>
          </w:tcPr>
          <w:p w14:paraId="59C964DC">
            <w:pPr>
              <w:pStyle w:val="48"/>
              <w:spacing w:before="67" w:line="219" w:lineRule="auto"/>
              <w:ind w:left="767"/>
              <w:jc w:val="both"/>
            </w:pPr>
            <w:r>
              <w:rPr>
                <w:b/>
                <w:bCs/>
                <w:spacing w:val="-5"/>
              </w:rPr>
              <w:t>卢海林</w:t>
            </w:r>
          </w:p>
        </w:tc>
        <w:tc>
          <w:tcPr>
            <w:tcW w:w="4969" w:type="dxa"/>
            <w:vAlign w:val="top"/>
          </w:tcPr>
          <w:p w14:paraId="421FCCD0">
            <w:pPr>
              <w:pStyle w:val="48"/>
              <w:spacing w:before="71" w:line="220" w:lineRule="auto"/>
              <w:ind w:left="2372"/>
              <w:jc w:val="both"/>
            </w:pPr>
            <w:r>
              <w:rPr>
                <w:spacing w:val="-2"/>
              </w:rPr>
              <w:t>经济界别活动小组</w:t>
            </w:r>
          </w:p>
        </w:tc>
      </w:tr>
      <w:tr w14:paraId="509F7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25" w:type="dxa"/>
            <w:vAlign w:val="top"/>
          </w:tcPr>
          <w:p w14:paraId="485B9F5F">
            <w:pPr>
              <w:pStyle w:val="48"/>
              <w:spacing w:before="67" w:line="219" w:lineRule="auto"/>
              <w:ind w:left="767"/>
              <w:jc w:val="both"/>
            </w:pPr>
            <w:r>
              <w:rPr>
                <w:b/>
                <w:bCs/>
                <w:spacing w:val="-1"/>
              </w:rPr>
              <w:t>叶瑞碧</w:t>
            </w:r>
          </w:p>
        </w:tc>
        <w:tc>
          <w:tcPr>
            <w:tcW w:w="4969" w:type="dxa"/>
            <w:vAlign w:val="top"/>
          </w:tcPr>
          <w:p w14:paraId="40F4343F">
            <w:pPr>
              <w:pStyle w:val="48"/>
              <w:spacing w:before="71" w:line="220" w:lineRule="auto"/>
              <w:ind w:left="2372"/>
              <w:jc w:val="both"/>
            </w:pPr>
            <w:r>
              <w:t>民进界别活动小组</w:t>
            </w:r>
          </w:p>
        </w:tc>
      </w:tr>
      <w:tr w14:paraId="26E15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25" w:type="dxa"/>
            <w:vAlign w:val="top"/>
          </w:tcPr>
          <w:p w14:paraId="6A85C4A9">
            <w:pPr>
              <w:pStyle w:val="48"/>
              <w:spacing w:before="78" w:line="220" w:lineRule="auto"/>
              <w:ind w:left="767"/>
              <w:jc w:val="both"/>
            </w:pPr>
            <w:r>
              <w:rPr>
                <w:b/>
                <w:bCs/>
                <w:spacing w:val="-6"/>
              </w:rPr>
              <w:t>乐智强</w:t>
            </w:r>
          </w:p>
        </w:tc>
        <w:tc>
          <w:tcPr>
            <w:tcW w:w="4969" w:type="dxa"/>
            <w:vAlign w:val="top"/>
          </w:tcPr>
          <w:p w14:paraId="38DB1EA5">
            <w:pPr>
              <w:pStyle w:val="48"/>
              <w:spacing w:before="81" w:line="220" w:lineRule="auto"/>
              <w:ind w:left="2372"/>
              <w:jc w:val="both"/>
            </w:pPr>
            <w:r>
              <w:t>民进界别活动小组</w:t>
            </w:r>
          </w:p>
        </w:tc>
      </w:tr>
      <w:tr w14:paraId="4D89D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5CA1E3CF">
            <w:pPr>
              <w:pStyle w:val="48"/>
              <w:spacing w:before="68" w:line="221" w:lineRule="auto"/>
              <w:ind w:left="817"/>
              <w:jc w:val="both"/>
            </w:pPr>
            <w:r>
              <w:rPr>
                <w:b/>
                <w:bCs/>
                <w:spacing w:val="-21"/>
              </w:rPr>
              <w:t>吕</w:t>
            </w:r>
            <w:r>
              <w:rPr>
                <w:spacing w:val="45"/>
              </w:rPr>
              <w:t xml:space="preserve"> </w:t>
            </w:r>
            <w:r>
              <w:rPr>
                <w:b/>
                <w:bCs/>
                <w:spacing w:val="-21"/>
              </w:rPr>
              <w:t>鑫</w:t>
            </w:r>
          </w:p>
        </w:tc>
        <w:tc>
          <w:tcPr>
            <w:tcW w:w="4969" w:type="dxa"/>
            <w:vAlign w:val="top"/>
          </w:tcPr>
          <w:p w14:paraId="07872C7B">
            <w:pPr>
              <w:pStyle w:val="48"/>
              <w:spacing w:before="70" w:line="219" w:lineRule="auto"/>
              <w:ind w:left="2162"/>
              <w:jc w:val="both"/>
            </w:pPr>
            <w:r>
              <w:t>九三学社界别活动小组</w:t>
            </w:r>
          </w:p>
        </w:tc>
      </w:tr>
      <w:tr w14:paraId="263DF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25" w:type="dxa"/>
            <w:vAlign w:val="top"/>
          </w:tcPr>
          <w:p w14:paraId="2E7B508D">
            <w:pPr>
              <w:pStyle w:val="48"/>
              <w:spacing w:before="78" w:line="221" w:lineRule="auto"/>
              <w:ind w:left="767"/>
              <w:jc w:val="both"/>
            </w:pPr>
            <w:r>
              <w:rPr>
                <w:b/>
                <w:bCs/>
                <w:spacing w:val="-5"/>
              </w:rPr>
              <w:t>李金莲</w:t>
            </w:r>
          </w:p>
        </w:tc>
        <w:tc>
          <w:tcPr>
            <w:tcW w:w="4969" w:type="dxa"/>
            <w:vAlign w:val="top"/>
          </w:tcPr>
          <w:p w14:paraId="723E6F29">
            <w:pPr>
              <w:pStyle w:val="48"/>
              <w:spacing w:before="80" w:line="219" w:lineRule="auto"/>
              <w:ind w:left="1792"/>
              <w:jc w:val="both"/>
            </w:pPr>
            <w:r>
              <w:rPr>
                <w:spacing w:val="2"/>
              </w:rPr>
              <w:t>特邀二(港澳)界别活动小组(1)</w:t>
            </w:r>
          </w:p>
        </w:tc>
      </w:tr>
      <w:tr w14:paraId="6E40C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759709A6">
            <w:pPr>
              <w:pStyle w:val="48"/>
              <w:spacing w:before="68" w:line="219" w:lineRule="auto"/>
              <w:ind w:left="767"/>
              <w:jc w:val="both"/>
            </w:pPr>
            <w:r>
              <w:rPr>
                <w:b/>
                <w:bCs/>
                <w:spacing w:val="-5"/>
              </w:rPr>
              <w:t>李冠华</w:t>
            </w:r>
          </w:p>
        </w:tc>
        <w:tc>
          <w:tcPr>
            <w:tcW w:w="4969" w:type="dxa"/>
            <w:vAlign w:val="top"/>
          </w:tcPr>
          <w:p w14:paraId="1C6233AE">
            <w:pPr>
              <w:pStyle w:val="48"/>
              <w:spacing w:before="71" w:line="219" w:lineRule="auto"/>
              <w:ind w:left="1792"/>
              <w:jc w:val="both"/>
            </w:pPr>
            <w:r>
              <w:rPr>
                <w:spacing w:val="2"/>
              </w:rPr>
              <w:t>特邀二(港澳)界别活动小组(1)</w:t>
            </w:r>
          </w:p>
        </w:tc>
      </w:tr>
      <w:tr w14:paraId="65AF0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25" w:type="dxa"/>
            <w:vAlign w:val="top"/>
          </w:tcPr>
          <w:p w14:paraId="3FFD69FF">
            <w:pPr>
              <w:pStyle w:val="48"/>
              <w:spacing w:before="79" w:line="221" w:lineRule="auto"/>
              <w:ind w:left="767"/>
              <w:jc w:val="both"/>
            </w:pPr>
            <w:r>
              <w:rPr>
                <w:b/>
                <w:bCs/>
                <w:spacing w:val="-5"/>
              </w:rPr>
              <w:t>李瑞盛</w:t>
            </w:r>
          </w:p>
        </w:tc>
        <w:tc>
          <w:tcPr>
            <w:tcW w:w="4969" w:type="dxa"/>
            <w:vAlign w:val="top"/>
          </w:tcPr>
          <w:p w14:paraId="213BD7EE">
            <w:pPr>
              <w:pStyle w:val="48"/>
              <w:spacing w:before="81" w:line="219" w:lineRule="auto"/>
              <w:ind w:left="2262"/>
              <w:jc w:val="both"/>
            </w:pPr>
            <w:r>
              <w:rPr>
                <w:spacing w:val="-1"/>
              </w:rPr>
              <w:t>致公党界别活动小组</w:t>
            </w:r>
          </w:p>
        </w:tc>
      </w:tr>
      <w:tr w14:paraId="70803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425" w:type="dxa"/>
            <w:vAlign w:val="top"/>
          </w:tcPr>
          <w:p w14:paraId="162E9A8C">
            <w:pPr>
              <w:pStyle w:val="48"/>
              <w:spacing w:before="58" w:line="219" w:lineRule="auto"/>
              <w:ind w:left="758"/>
              <w:jc w:val="both"/>
            </w:pPr>
            <w:r>
              <w:rPr>
                <w:b/>
                <w:bCs/>
                <w:spacing w:val="-8"/>
              </w:rPr>
              <w:t>杨</w:t>
            </w:r>
            <w:r>
              <w:rPr>
                <w:spacing w:val="19"/>
              </w:rPr>
              <w:t xml:space="preserve">  </w:t>
            </w:r>
            <w:r>
              <w:rPr>
                <w:b/>
                <w:bCs/>
                <w:spacing w:val="-8"/>
              </w:rPr>
              <w:t>帆</w:t>
            </w:r>
          </w:p>
        </w:tc>
        <w:tc>
          <w:tcPr>
            <w:tcW w:w="4969" w:type="dxa"/>
            <w:vAlign w:val="top"/>
          </w:tcPr>
          <w:p w14:paraId="12C52C17">
            <w:pPr>
              <w:pStyle w:val="48"/>
              <w:spacing w:before="62" w:line="220" w:lineRule="auto"/>
              <w:ind w:left="2372"/>
              <w:jc w:val="both"/>
            </w:pPr>
            <w:r>
              <w:t>民建界别活动小组</w:t>
            </w:r>
          </w:p>
        </w:tc>
      </w:tr>
      <w:tr w14:paraId="1475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659F8BF7">
            <w:pPr>
              <w:pStyle w:val="48"/>
              <w:spacing w:before="68" w:line="219" w:lineRule="auto"/>
              <w:ind w:left="758"/>
              <w:jc w:val="both"/>
            </w:pPr>
            <w:r>
              <w:rPr>
                <w:b/>
                <w:bCs/>
                <w:spacing w:val="-8"/>
              </w:rPr>
              <w:t>杨</w:t>
            </w:r>
            <w:r>
              <w:rPr>
                <w:spacing w:val="19"/>
              </w:rPr>
              <w:t xml:space="preserve">  </w:t>
            </w:r>
            <w:r>
              <w:rPr>
                <w:b/>
                <w:bCs/>
                <w:spacing w:val="-8"/>
              </w:rPr>
              <w:t>军</w:t>
            </w:r>
          </w:p>
        </w:tc>
        <w:tc>
          <w:tcPr>
            <w:tcW w:w="4969" w:type="dxa"/>
            <w:vAlign w:val="top"/>
          </w:tcPr>
          <w:p w14:paraId="4027F4A4">
            <w:pPr>
              <w:pStyle w:val="48"/>
              <w:spacing w:before="72" w:line="219" w:lineRule="auto"/>
              <w:ind w:left="2262"/>
              <w:jc w:val="both"/>
            </w:pPr>
            <w:r>
              <w:rPr>
                <w:spacing w:val="-1"/>
              </w:rPr>
              <w:t>农工党界别活动小组</w:t>
            </w:r>
          </w:p>
        </w:tc>
      </w:tr>
      <w:tr w14:paraId="445D6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25" w:type="dxa"/>
            <w:vAlign w:val="top"/>
          </w:tcPr>
          <w:p w14:paraId="306530CB">
            <w:pPr>
              <w:pStyle w:val="48"/>
              <w:spacing w:before="79" w:line="219" w:lineRule="auto"/>
              <w:ind w:left="758"/>
              <w:jc w:val="both"/>
            </w:pPr>
            <w:r>
              <w:rPr>
                <w:b/>
                <w:bCs/>
                <w:spacing w:val="-8"/>
              </w:rPr>
              <w:t>吴</w:t>
            </w:r>
            <w:r>
              <w:rPr>
                <w:spacing w:val="15"/>
              </w:rPr>
              <w:t xml:space="preserve">  </w:t>
            </w:r>
            <w:r>
              <w:rPr>
                <w:b/>
                <w:bCs/>
                <w:spacing w:val="-8"/>
              </w:rPr>
              <w:t>腾</w:t>
            </w:r>
          </w:p>
        </w:tc>
        <w:tc>
          <w:tcPr>
            <w:tcW w:w="4969" w:type="dxa"/>
            <w:vAlign w:val="top"/>
          </w:tcPr>
          <w:p w14:paraId="74505CAE">
            <w:pPr>
              <w:pStyle w:val="48"/>
              <w:spacing w:before="82" w:line="219" w:lineRule="auto"/>
              <w:ind w:left="1792"/>
              <w:jc w:val="both"/>
            </w:pPr>
            <w:r>
              <w:rPr>
                <w:spacing w:val="2"/>
              </w:rPr>
              <w:t>特邀二(港澳)界别活动小组(1)</w:t>
            </w:r>
          </w:p>
        </w:tc>
      </w:tr>
      <w:tr w14:paraId="0E194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425" w:type="dxa"/>
            <w:vAlign w:val="top"/>
          </w:tcPr>
          <w:p w14:paraId="5A0CD0D2">
            <w:pPr>
              <w:pStyle w:val="48"/>
              <w:spacing w:before="70" w:line="219" w:lineRule="auto"/>
              <w:ind w:left="767"/>
              <w:jc w:val="both"/>
            </w:pPr>
            <w:r>
              <w:rPr>
                <w:b/>
                <w:bCs/>
                <w:spacing w:val="-5"/>
              </w:rPr>
              <w:t>吴招毅</w:t>
            </w:r>
          </w:p>
        </w:tc>
        <w:tc>
          <w:tcPr>
            <w:tcW w:w="4969" w:type="dxa"/>
            <w:vAlign w:val="top"/>
          </w:tcPr>
          <w:p w14:paraId="33B0E42C">
            <w:pPr>
              <w:pStyle w:val="48"/>
              <w:spacing w:before="73" w:line="219" w:lineRule="auto"/>
              <w:ind w:left="1792"/>
              <w:jc w:val="both"/>
            </w:pPr>
            <w:r>
              <w:rPr>
                <w:spacing w:val="2"/>
              </w:rPr>
              <w:t>特邀二(港澳)界别活动小组(2)</w:t>
            </w:r>
          </w:p>
        </w:tc>
      </w:tr>
      <w:tr w14:paraId="063D4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25" w:type="dxa"/>
            <w:vAlign w:val="top"/>
          </w:tcPr>
          <w:p w14:paraId="22BC1DAB">
            <w:pPr>
              <w:pStyle w:val="48"/>
              <w:spacing w:before="81" w:line="219" w:lineRule="auto"/>
              <w:ind w:left="767"/>
              <w:jc w:val="both"/>
            </w:pPr>
            <w:r>
              <w:rPr>
                <w:b/>
                <w:bCs/>
                <w:spacing w:val="-5"/>
              </w:rPr>
              <w:t>吴旗荣</w:t>
            </w:r>
          </w:p>
        </w:tc>
        <w:tc>
          <w:tcPr>
            <w:tcW w:w="4969" w:type="dxa"/>
            <w:vAlign w:val="top"/>
          </w:tcPr>
          <w:p w14:paraId="1EFBFA1F">
            <w:pPr>
              <w:pStyle w:val="48"/>
              <w:spacing w:before="84" w:line="219" w:lineRule="auto"/>
              <w:ind w:left="1792"/>
              <w:jc w:val="both"/>
            </w:pPr>
            <w:r>
              <w:rPr>
                <w:spacing w:val="2"/>
              </w:rPr>
              <w:t>中共、特邀一界别活动小组(2)</w:t>
            </w:r>
          </w:p>
        </w:tc>
      </w:tr>
      <w:tr w14:paraId="347A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25" w:type="dxa"/>
            <w:vAlign w:val="top"/>
          </w:tcPr>
          <w:p w14:paraId="28BECFB2">
            <w:pPr>
              <w:pStyle w:val="48"/>
              <w:spacing w:before="71" w:line="219" w:lineRule="auto"/>
              <w:ind w:left="767"/>
              <w:jc w:val="both"/>
            </w:pPr>
            <w:r>
              <w:rPr>
                <w:b/>
                <w:bCs/>
                <w:spacing w:val="-5"/>
              </w:rPr>
              <w:t>吴慧颖</w:t>
            </w:r>
          </w:p>
        </w:tc>
        <w:tc>
          <w:tcPr>
            <w:tcW w:w="4969" w:type="dxa"/>
            <w:vAlign w:val="top"/>
          </w:tcPr>
          <w:p w14:paraId="2C8086C5">
            <w:pPr>
              <w:pStyle w:val="48"/>
              <w:spacing w:before="75" w:line="220" w:lineRule="auto"/>
              <w:ind w:left="2372"/>
              <w:jc w:val="both"/>
            </w:pPr>
            <w:r>
              <w:rPr>
                <w:spacing w:val="-2"/>
              </w:rPr>
              <w:t>文艺界别活动小组</w:t>
            </w:r>
          </w:p>
        </w:tc>
      </w:tr>
      <w:tr w14:paraId="07A2B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425" w:type="dxa"/>
            <w:vAlign w:val="top"/>
          </w:tcPr>
          <w:p w14:paraId="5203FF65">
            <w:pPr>
              <w:pStyle w:val="48"/>
              <w:spacing w:before="72" w:line="220" w:lineRule="auto"/>
              <w:ind w:left="767"/>
              <w:jc w:val="both"/>
            </w:pPr>
            <w:r>
              <w:rPr>
                <w:b/>
                <w:bCs/>
                <w:spacing w:val="-5"/>
              </w:rPr>
              <w:t>何燕珍</w:t>
            </w:r>
          </w:p>
        </w:tc>
        <w:tc>
          <w:tcPr>
            <w:tcW w:w="4969" w:type="dxa"/>
            <w:vAlign w:val="top"/>
          </w:tcPr>
          <w:p w14:paraId="7213173B">
            <w:pPr>
              <w:pStyle w:val="48"/>
              <w:spacing w:before="74" w:line="219" w:lineRule="auto"/>
              <w:ind w:left="2372"/>
              <w:jc w:val="both"/>
            </w:pPr>
            <w:r>
              <w:t>民革界别活动小组</w:t>
            </w:r>
          </w:p>
        </w:tc>
      </w:tr>
      <w:tr w14:paraId="4E328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25" w:type="dxa"/>
            <w:vAlign w:val="top"/>
          </w:tcPr>
          <w:p w14:paraId="183BBC46">
            <w:pPr>
              <w:pStyle w:val="48"/>
              <w:spacing w:before="85" w:line="221" w:lineRule="auto"/>
              <w:ind w:left="767"/>
              <w:jc w:val="both"/>
            </w:pPr>
            <w:r>
              <w:rPr>
                <w:b/>
                <w:bCs/>
                <w:spacing w:val="2"/>
              </w:rPr>
              <w:t>张文惠</w:t>
            </w:r>
          </w:p>
        </w:tc>
        <w:tc>
          <w:tcPr>
            <w:tcW w:w="4969" w:type="dxa"/>
            <w:vAlign w:val="top"/>
          </w:tcPr>
          <w:p w14:paraId="0CD68B70">
            <w:pPr>
              <w:pStyle w:val="48"/>
              <w:spacing w:before="84" w:line="219" w:lineRule="auto"/>
              <w:ind w:left="2052"/>
              <w:jc w:val="both"/>
            </w:pPr>
            <w:r>
              <w:rPr>
                <w:spacing w:val="-1"/>
              </w:rPr>
              <w:t>科技和科协界别活动小组</w:t>
            </w:r>
          </w:p>
        </w:tc>
      </w:tr>
      <w:tr w14:paraId="01669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4FE99C1D">
            <w:pPr>
              <w:pStyle w:val="48"/>
              <w:spacing w:before="73" w:line="220" w:lineRule="auto"/>
              <w:ind w:left="767"/>
              <w:jc w:val="both"/>
            </w:pPr>
            <w:r>
              <w:rPr>
                <w:b/>
                <w:bCs/>
                <w:spacing w:val="-6"/>
              </w:rPr>
              <w:t>张宇文</w:t>
            </w:r>
          </w:p>
        </w:tc>
        <w:tc>
          <w:tcPr>
            <w:tcW w:w="4969" w:type="dxa"/>
            <w:vAlign w:val="top"/>
          </w:tcPr>
          <w:p w14:paraId="2EC24379">
            <w:pPr>
              <w:pStyle w:val="48"/>
              <w:spacing w:before="75" w:line="219" w:lineRule="auto"/>
              <w:ind w:left="1792"/>
              <w:jc w:val="both"/>
            </w:pPr>
            <w:r>
              <w:rPr>
                <w:spacing w:val="2"/>
              </w:rPr>
              <w:t>特邀二(港澳)界别活动小组(1)</w:t>
            </w:r>
          </w:p>
        </w:tc>
      </w:tr>
      <w:tr w14:paraId="305A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25" w:type="dxa"/>
            <w:vAlign w:val="top"/>
          </w:tcPr>
          <w:p w14:paraId="51090564">
            <w:pPr>
              <w:pStyle w:val="48"/>
              <w:spacing w:before="81" w:line="219" w:lineRule="auto"/>
              <w:ind w:left="767"/>
              <w:jc w:val="both"/>
            </w:pPr>
            <w:r>
              <w:rPr>
                <w:b/>
                <w:bCs/>
                <w:spacing w:val="-2"/>
              </w:rPr>
              <w:t>陈希梅</w:t>
            </w:r>
          </w:p>
        </w:tc>
        <w:tc>
          <w:tcPr>
            <w:tcW w:w="4969" w:type="dxa"/>
            <w:vAlign w:val="top"/>
          </w:tcPr>
          <w:p w14:paraId="03435E65">
            <w:pPr>
              <w:pStyle w:val="48"/>
              <w:spacing w:before="86" w:line="220" w:lineRule="auto"/>
              <w:ind w:left="2372"/>
              <w:jc w:val="both"/>
            </w:pPr>
            <w:r>
              <w:t>民盟界别活动小组</w:t>
            </w:r>
          </w:p>
        </w:tc>
      </w:tr>
      <w:tr w14:paraId="06223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4FF99177">
            <w:pPr>
              <w:pStyle w:val="48"/>
              <w:spacing w:before="73" w:line="219" w:lineRule="auto"/>
              <w:ind w:left="758"/>
              <w:jc w:val="both"/>
            </w:pPr>
            <w:r>
              <w:rPr>
                <w:b/>
                <w:bCs/>
                <w:spacing w:val="-7"/>
              </w:rPr>
              <w:t>林</w:t>
            </w:r>
            <w:r>
              <w:rPr>
                <w:spacing w:val="16"/>
              </w:rPr>
              <w:t xml:space="preserve">  </w:t>
            </w:r>
            <w:r>
              <w:rPr>
                <w:b/>
                <w:bCs/>
                <w:spacing w:val="-7"/>
              </w:rPr>
              <w:t>涛</w:t>
            </w:r>
          </w:p>
        </w:tc>
        <w:tc>
          <w:tcPr>
            <w:tcW w:w="4969" w:type="dxa"/>
            <w:vAlign w:val="top"/>
          </w:tcPr>
          <w:p w14:paraId="2EE0C56E">
            <w:pPr>
              <w:pStyle w:val="48"/>
              <w:spacing w:before="77" w:line="220" w:lineRule="auto"/>
              <w:ind w:left="2372"/>
              <w:jc w:val="both"/>
            </w:pPr>
            <w:r>
              <w:t>民盟界别活动小组</w:t>
            </w:r>
          </w:p>
        </w:tc>
      </w:tr>
      <w:tr w14:paraId="3E3FB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425" w:type="dxa"/>
            <w:vAlign w:val="top"/>
          </w:tcPr>
          <w:p w14:paraId="7B4F6F8F">
            <w:pPr>
              <w:pStyle w:val="48"/>
              <w:spacing w:before="63" w:line="219" w:lineRule="auto"/>
              <w:ind w:left="797"/>
              <w:jc w:val="both"/>
            </w:pPr>
            <w:r>
              <w:rPr>
                <w:b/>
                <w:bCs/>
                <w:spacing w:val="-7"/>
              </w:rPr>
              <w:t>林</w:t>
            </w:r>
            <w:r>
              <w:rPr>
                <w:spacing w:val="65"/>
              </w:rPr>
              <w:t xml:space="preserve"> </w:t>
            </w:r>
            <w:r>
              <w:rPr>
                <w:b/>
                <w:bCs/>
                <w:spacing w:val="-7"/>
              </w:rPr>
              <w:t>溱</w:t>
            </w:r>
          </w:p>
        </w:tc>
        <w:tc>
          <w:tcPr>
            <w:tcW w:w="4969" w:type="dxa"/>
            <w:vAlign w:val="top"/>
          </w:tcPr>
          <w:p w14:paraId="0B2D9AF9">
            <w:pPr>
              <w:pStyle w:val="48"/>
              <w:spacing w:before="66" w:line="219" w:lineRule="auto"/>
              <w:ind w:left="2162"/>
              <w:jc w:val="both"/>
            </w:pPr>
            <w:r>
              <w:t>九三学社界别活动小组</w:t>
            </w:r>
          </w:p>
        </w:tc>
      </w:tr>
      <w:tr w14:paraId="03339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25" w:type="dxa"/>
            <w:vAlign w:val="top"/>
          </w:tcPr>
          <w:p w14:paraId="662732E7">
            <w:pPr>
              <w:pStyle w:val="48"/>
              <w:spacing w:before="87" w:line="221" w:lineRule="auto"/>
              <w:ind w:left="767"/>
              <w:jc w:val="both"/>
            </w:pPr>
            <w:r>
              <w:rPr>
                <w:b/>
                <w:bCs/>
                <w:spacing w:val="5"/>
              </w:rPr>
              <w:t>周文勇</w:t>
            </w:r>
          </w:p>
        </w:tc>
        <w:tc>
          <w:tcPr>
            <w:tcW w:w="4969" w:type="dxa"/>
            <w:vAlign w:val="top"/>
          </w:tcPr>
          <w:p w14:paraId="4D4415D2">
            <w:pPr>
              <w:pStyle w:val="48"/>
              <w:spacing w:before="87" w:line="219" w:lineRule="auto"/>
              <w:ind w:left="2372"/>
              <w:jc w:val="both"/>
            </w:pPr>
            <w:r>
              <w:t>民革界别活动小组</w:t>
            </w:r>
          </w:p>
        </w:tc>
      </w:tr>
      <w:tr w14:paraId="4F9A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4BDB5F5E">
            <w:pPr>
              <w:pStyle w:val="48"/>
              <w:spacing w:before="74" w:line="219" w:lineRule="auto"/>
              <w:ind w:left="767"/>
              <w:jc w:val="both"/>
            </w:pPr>
            <w:r>
              <w:rPr>
                <w:b/>
                <w:bCs/>
                <w:spacing w:val="-5"/>
              </w:rPr>
              <w:t>郑安安</w:t>
            </w:r>
          </w:p>
        </w:tc>
        <w:tc>
          <w:tcPr>
            <w:tcW w:w="4969" w:type="dxa"/>
            <w:vAlign w:val="top"/>
          </w:tcPr>
          <w:p w14:paraId="7691F9B9">
            <w:pPr>
              <w:pStyle w:val="48"/>
              <w:spacing w:before="78" w:line="220" w:lineRule="auto"/>
              <w:ind w:left="2372"/>
              <w:jc w:val="both"/>
            </w:pPr>
            <w:r>
              <w:t>民盟界别活动小组</w:t>
            </w:r>
          </w:p>
        </w:tc>
      </w:tr>
      <w:tr w14:paraId="17CE3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25" w:type="dxa"/>
            <w:vAlign w:val="top"/>
          </w:tcPr>
          <w:p w14:paraId="5B9781BF">
            <w:pPr>
              <w:pStyle w:val="48"/>
              <w:spacing w:before="84" w:line="219" w:lineRule="auto"/>
              <w:ind w:left="767"/>
              <w:jc w:val="both"/>
            </w:pPr>
            <w:r>
              <w:rPr>
                <w:b/>
                <w:bCs/>
                <w:spacing w:val="-6"/>
              </w:rPr>
              <w:t>胡小媛</w:t>
            </w:r>
          </w:p>
        </w:tc>
        <w:tc>
          <w:tcPr>
            <w:tcW w:w="4969" w:type="dxa"/>
            <w:vAlign w:val="top"/>
          </w:tcPr>
          <w:p w14:paraId="7315A223">
            <w:pPr>
              <w:pStyle w:val="48"/>
              <w:spacing w:before="88" w:line="220" w:lineRule="auto"/>
              <w:ind w:left="2372"/>
              <w:jc w:val="both"/>
            </w:pPr>
            <w:r>
              <w:rPr>
                <w:spacing w:val="-1"/>
              </w:rPr>
              <w:t>妇联界别活动小组</w:t>
            </w:r>
          </w:p>
        </w:tc>
      </w:tr>
      <w:tr w14:paraId="21D85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4A94FD1D">
            <w:pPr>
              <w:pStyle w:val="48"/>
              <w:spacing w:before="74" w:line="219" w:lineRule="auto"/>
              <w:ind w:left="817"/>
              <w:jc w:val="both"/>
            </w:pPr>
            <w:r>
              <w:rPr>
                <w:b/>
                <w:bCs/>
                <w:spacing w:val="-7"/>
              </w:rPr>
              <w:t>侯</w:t>
            </w:r>
            <w:r>
              <w:rPr>
                <w:spacing w:val="9"/>
              </w:rPr>
              <w:t xml:space="preserve"> </w:t>
            </w:r>
            <w:r>
              <w:rPr>
                <w:b/>
                <w:bCs/>
                <w:spacing w:val="-7"/>
              </w:rPr>
              <w:t>利</w:t>
            </w:r>
          </w:p>
        </w:tc>
        <w:tc>
          <w:tcPr>
            <w:tcW w:w="4969" w:type="dxa"/>
            <w:vAlign w:val="top"/>
          </w:tcPr>
          <w:p w14:paraId="7F74BE1A">
            <w:pPr>
              <w:pStyle w:val="48"/>
              <w:spacing w:before="79" w:line="220" w:lineRule="auto"/>
              <w:ind w:left="2162"/>
              <w:jc w:val="both"/>
            </w:pPr>
            <w:r>
              <w:rPr>
                <w:spacing w:val="-1"/>
              </w:rPr>
              <w:t>环境资源界别活动小组</w:t>
            </w:r>
          </w:p>
        </w:tc>
      </w:tr>
      <w:tr w14:paraId="0BB7E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25" w:type="dxa"/>
            <w:vAlign w:val="top"/>
          </w:tcPr>
          <w:p w14:paraId="0258309E">
            <w:pPr>
              <w:pStyle w:val="48"/>
              <w:spacing w:before="85" w:line="219" w:lineRule="auto"/>
              <w:ind w:left="767"/>
              <w:jc w:val="both"/>
            </w:pPr>
            <w:r>
              <w:rPr>
                <w:b/>
                <w:bCs/>
                <w:spacing w:val="3"/>
              </w:rPr>
              <w:t>涂崇禹</w:t>
            </w:r>
          </w:p>
        </w:tc>
        <w:tc>
          <w:tcPr>
            <w:tcW w:w="4969" w:type="dxa"/>
            <w:vAlign w:val="top"/>
          </w:tcPr>
          <w:p w14:paraId="0DB9C9CD">
            <w:pPr>
              <w:pStyle w:val="48"/>
              <w:spacing w:before="88" w:line="219" w:lineRule="auto"/>
              <w:ind w:left="2372"/>
              <w:jc w:val="both"/>
            </w:pPr>
            <w:r>
              <w:t>民革界别活动小组</w:t>
            </w:r>
          </w:p>
        </w:tc>
      </w:tr>
      <w:tr w14:paraId="1E93B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425" w:type="dxa"/>
            <w:vAlign w:val="top"/>
          </w:tcPr>
          <w:p w14:paraId="70C5A03A">
            <w:pPr>
              <w:pStyle w:val="48"/>
              <w:spacing w:before="75" w:line="219" w:lineRule="auto"/>
              <w:ind w:left="767"/>
              <w:jc w:val="both"/>
            </w:pPr>
            <w:r>
              <w:rPr>
                <w:b/>
                <w:bCs/>
                <w:spacing w:val="-4"/>
              </w:rPr>
              <w:t>黄鸣鹤</w:t>
            </w:r>
          </w:p>
        </w:tc>
        <w:tc>
          <w:tcPr>
            <w:tcW w:w="4969" w:type="dxa"/>
            <w:vAlign w:val="top"/>
          </w:tcPr>
          <w:p w14:paraId="7B384E29">
            <w:pPr>
              <w:pStyle w:val="48"/>
              <w:spacing w:before="78" w:line="219" w:lineRule="auto"/>
              <w:ind w:left="2372"/>
              <w:jc w:val="both"/>
            </w:pPr>
            <w:r>
              <w:t>民革界别活动小组</w:t>
            </w:r>
          </w:p>
        </w:tc>
      </w:tr>
      <w:tr w14:paraId="5C733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25" w:type="dxa"/>
            <w:vAlign w:val="top"/>
          </w:tcPr>
          <w:p w14:paraId="2240A579">
            <w:pPr>
              <w:pStyle w:val="48"/>
              <w:spacing w:before="75" w:line="219" w:lineRule="auto"/>
              <w:ind w:left="767"/>
              <w:jc w:val="both"/>
            </w:pPr>
            <w:r>
              <w:rPr>
                <w:b/>
                <w:bCs/>
                <w:spacing w:val="-4"/>
              </w:rPr>
              <w:t>黄敏沁</w:t>
            </w:r>
          </w:p>
        </w:tc>
        <w:tc>
          <w:tcPr>
            <w:tcW w:w="4969" w:type="dxa"/>
            <w:vAlign w:val="top"/>
          </w:tcPr>
          <w:p w14:paraId="688DA831">
            <w:pPr>
              <w:pStyle w:val="48"/>
              <w:spacing w:before="79" w:line="220" w:lineRule="auto"/>
              <w:ind w:left="2372"/>
              <w:jc w:val="both"/>
            </w:pPr>
            <w:r>
              <w:t>民盟界别活动小组</w:t>
            </w:r>
          </w:p>
        </w:tc>
      </w:tr>
      <w:tr w14:paraId="31EEF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425" w:type="dxa"/>
            <w:vAlign w:val="top"/>
          </w:tcPr>
          <w:p w14:paraId="75FA5B08">
            <w:pPr>
              <w:pStyle w:val="48"/>
              <w:spacing w:before="75" w:line="219" w:lineRule="auto"/>
              <w:ind w:left="758"/>
              <w:jc w:val="both"/>
            </w:pPr>
            <w:r>
              <w:rPr>
                <w:b/>
                <w:bCs/>
                <w:spacing w:val="-6"/>
              </w:rPr>
              <w:t>程</w:t>
            </w:r>
            <w:r>
              <w:rPr>
                <w:spacing w:val="31"/>
              </w:rPr>
              <w:t xml:space="preserve">  </w:t>
            </w:r>
            <w:r>
              <w:rPr>
                <w:b/>
                <w:bCs/>
                <w:spacing w:val="-6"/>
              </w:rPr>
              <w:t>明</w:t>
            </w:r>
          </w:p>
        </w:tc>
        <w:tc>
          <w:tcPr>
            <w:tcW w:w="4969" w:type="dxa"/>
            <w:vAlign w:val="top"/>
          </w:tcPr>
          <w:p w14:paraId="1E7307B8">
            <w:pPr>
              <w:pStyle w:val="48"/>
              <w:spacing w:before="78" w:line="219" w:lineRule="auto"/>
              <w:ind w:left="2372"/>
              <w:jc w:val="both"/>
            </w:pPr>
            <w:r>
              <w:t>民革界别活动小组</w:t>
            </w:r>
          </w:p>
        </w:tc>
      </w:tr>
      <w:tr w14:paraId="57953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425" w:type="dxa"/>
            <w:vAlign w:val="top"/>
          </w:tcPr>
          <w:p w14:paraId="56C6AED0">
            <w:pPr>
              <w:pStyle w:val="48"/>
              <w:spacing w:before="75" w:line="219" w:lineRule="auto"/>
              <w:ind w:left="767"/>
              <w:jc w:val="both"/>
            </w:pPr>
            <w:r>
              <w:rPr>
                <w:b/>
                <w:bCs/>
                <w:spacing w:val="-4"/>
              </w:rPr>
              <w:t>释净心</w:t>
            </w:r>
          </w:p>
        </w:tc>
        <w:tc>
          <w:tcPr>
            <w:tcW w:w="4969" w:type="dxa"/>
            <w:vAlign w:val="top"/>
          </w:tcPr>
          <w:p w14:paraId="4AA1DF6E">
            <w:pPr>
              <w:pStyle w:val="48"/>
              <w:spacing w:before="78" w:line="219" w:lineRule="auto"/>
              <w:ind w:left="1842"/>
              <w:jc w:val="both"/>
            </w:pPr>
            <w:r>
              <w:rPr>
                <w:spacing w:val="-1"/>
              </w:rPr>
              <w:t>少数民族、宗教界别活动小组</w:t>
            </w:r>
          </w:p>
        </w:tc>
      </w:tr>
    </w:tbl>
    <w:p w14:paraId="605D8A5E">
      <w:pPr>
        <w:spacing w:before="139" w:line="223" w:lineRule="auto"/>
        <w:ind w:left="6704"/>
        <w:rPr>
          <w:rFonts w:ascii="楷体" w:hAnsi="楷体" w:eastAsia="楷体" w:cs="楷体"/>
          <w:sz w:val="24"/>
          <w:szCs w:val="24"/>
        </w:rPr>
      </w:pPr>
      <w:r>
        <w:rPr>
          <w:rFonts w:ascii="楷体" w:hAnsi="楷体" w:eastAsia="楷体" w:cs="楷体"/>
          <w:spacing w:val="4"/>
          <w:sz w:val="24"/>
          <w:szCs w:val="24"/>
        </w:rPr>
        <w:t>(按姓名笔画排序)</w:t>
      </w:r>
    </w:p>
    <w:p w14:paraId="5007EAE9">
      <w:pPr>
        <w:pStyle w:val="2"/>
        <w:spacing w:afterLines="0" w:line="360" w:lineRule="auto"/>
        <w:rPr>
          <w:rFonts w:hint="eastAsia" w:eastAsia="黑体"/>
          <w:b/>
          <w:highlight w:val="yellow"/>
          <w:lang w:val="zh-CN" w:eastAsia="zh-CN"/>
        </w:rPr>
      </w:pPr>
      <w:r>
        <w:rPr>
          <w:rFonts w:hint="eastAsia"/>
          <w:b/>
          <w:highlight w:val="yellow"/>
          <w:lang w:eastAsia="zh-CN"/>
        </w:rPr>
        <w:t>要闻巡览</w:t>
      </w:r>
    </w:p>
    <w:p w14:paraId="1CF6A675">
      <w:pPr>
        <w:spacing w:after="240"/>
        <w:rPr>
          <w:rFonts w:hint="eastAsia"/>
        </w:rPr>
      </w:pPr>
      <w:r>
        <w:rPr>
          <w:rFonts w:hint="eastAsia"/>
        </w:rPr>
        <w:t>奋力拼搏 奋勇争先 提升政协履职质效</w:t>
      </w:r>
    </w:p>
    <w:p w14:paraId="164D7E0B">
      <w:pPr>
        <w:pStyle w:val="26"/>
        <w:bidi w:val="0"/>
        <w:rPr>
          <w:rFonts w:hint="eastAsia"/>
        </w:rPr>
      </w:pPr>
      <w:r>
        <w:rPr>
          <w:rFonts w:hint="eastAsia"/>
        </w:rPr>
        <w:t>2月10日，市政协党组书记、主席张国旺主持召开市政协党组（扩大）会议，传达学习贯彻全省深化拓展“三争”行动总结部署会暨重大项目推进会精神、全市持续深化拓展“三争”行动、开展“奋力拼搏、奋勇争先”专项行动部署会精神和市委专项行动工作方案，研究部署市政协贯彻落实意见。</w:t>
      </w:r>
    </w:p>
    <w:p w14:paraId="23FAAC33">
      <w:pPr>
        <w:pStyle w:val="26"/>
        <w:bidi w:val="0"/>
        <w:rPr>
          <w:rFonts w:hint="eastAsia"/>
        </w:rPr>
      </w:pPr>
      <w:r>
        <w:rPr>
          <w:rFonts w:hint="eastAsia"/>
        </w:rPr>
        <w:t>会议强调，要提高认识，把思想和行动统一到省委、市委的部署要求上来，以更加昂扬的状态、更加有力的措施，把市委市政府确定的各项部署落到实处。要聚焦重点环节，持续深化拓展“三争”行动、“奋力拼搏、奋勇争先”专项行动，持续“深学争优”，把学习成效转化为坚定拥护“两个确立”、坚决做到“两个维护”的实际成效；持续“敢为争先”，在推动发展上充分发挥专门协商机构优势，在履职能力建设上着力改革创新；持续“实干争效”，坚持目标导向和问题导向，引导广大委员和政协机关干部干字当头、实字托底。要加强组织领导，推动“奋力拼搏、奋勇争先”专项行动走深走实，把开展专项行动同推动全年重点工作紧密结合起来，重要任务要抓早抓实，提升履职质效，努力推动一季度实现良好开局，为完成全年工作目标打下坚实基础。</w:t>
      </w:r>
    </w:p>
    <w:p w14:paraId="3E568ED7">
      <w:pPr>
        <w:pStyle w:val="26"/>
        <w:bidi w:val="0"/>
        <w:rPr>
          <w:rFonts w:hint="eastAsia"/>
        </w:rPr>
      </w:pPr>
      <w:r>
        <w:rPr>
          <w:rFonts w:hint="eastAsia"/>
        </w:rPr>
        <w:t>会议还审议通过了市政协党组2025年工作要点和委员功能型党支部组成人员名单。</w:t>
      </w:r>
    </w:p>
    <w:p w14:paraId="6879307B">
      <w:pPr>
        <w:spacing w:after="240"/>
        <w:rPr>
          <w:rFonts w:hint="eastAsia"/>
        </w:rPr>
      </w:pPr>
    </w:p>
    <w:p w14:paraId="687B4008">
      <w:pPr>
        <w:spacing w:after="240"/>
        <w:rPr>
          <w:rFonts w:hint="eastAsia"/>
        </w:rPr>
      </w:pPr>
      <w:r>
        <w:rPr>
          <w:rFonts w:hint="eastAsia"/>
        </w:rPr>
        <w:t>市政协党组召开2024年度民主生活会</w:t>
      </w:r>
    </w:p>
    <w:p w14:paraId="1FBD960E">
      <w:pPr>
        <w:pStyle w:val="26"/>
        <w:bidi w:val="0"/>
        <w:rPr>
          <w:rFonts w:hint="eastAsia"/>
        </w:rPr>
      </w:pPr>
      <w:r>
        <w:rPr>
          <w:rFonts w:hint="eastAsia"/>
        </w:rPr>
        <w:t>1月25日，根据市委统一部署，市政协党组召开2024年度民主生活会，会议以“深入学习贯彻习近平新时代中国特色社会主义思想，巩固深化党纪学习教育成果，综合发挥党的纪律教育约束、保障激励作用，为进一步全面深化改革、推进中国式现代化提供坚强纪律保证”为主题，党组班子成员严格对标对表，认真查摆突出问题，深刻剖析原因，明确努力方向和整改措施。市政协党组书记、主席张国旺主持并讲话。市委督导组负责同志到会指导并点评。</w:t>
      </w:r>
    </w:p>
    <w:p w14:paraId="1E170849">
      <w:pPr>
        <w:pStyle w:val="26"/>
        <w:bidi w:val="0"/>
        <w:rPr>
          <w:rFonts w:hint="eastAsia"/>
        </w:rPr>
      </w:pPr>
      <w:r>
        <w:rPr>
          <w:rFonts w:hint="eastAsia"/>
        </w:rPr>
        <w:t>市政协党组对开好这次民主生活会高度重视，会前扎实开展学习研讨，广泛征求意见建议并开展谈心谈话，认真撰写个人发言材料，为高质量开好会议作了充分准备。会上通报了2024年度民主生活会准备情况，主题教育专题民主生活会查摆问题整改落实情况和会前征求意见情况。张国旺代表市政协党组班子作对照检查，并带头作个人对照检查，其他班子成员逐一发言，严肃开展批评和自我批评，达到了交流思想、检视问题、明确方向的目的和预期效果。</w:t>
      </w:r>
    </w:p>
    <w:p w14:paraId="5127216B">
      <w:pPr>
        <w:pStyle w:val="26"/>
        <w:bidi w:val="0"/>
        <w:rPr>
          <w:rFonts w:hint="eastAsia"/>
        </w:rPr>
      </w:pPr>
      <w:r>
        <w:rPr>
          <w:rFonts w:hint="eastAsia"/>
        </w:rPr>
        <w:t>张国旺在总结讲话时强调，要深入学习贯彻习近平新时代中国特色社会主义思想和党的二十届三中全会精神，学习贯彻习近平总书记在庆祝人民政协成立75周年大会上和在福建、厦门考察时的重要讲话精神，学思想、铸忠诚，坚定拥护“两个确立”、坚决做到“两个维护”；强担当、善作为，把政协工作放到全市发展大局中谋划推进；守纪律、强党建，把党纪学习教育成果持续转化为团结带领全市政协系统在中国式现代化建设中奋勇争先的强大动力。</w:t>
      </w:r>
    </w:p>
    <w:p w14:paraId="1DCEF4C8">
      <w:pPr>
        <w:spacing w:after="240"/>
        <w:rPr>
          <w:rFonts w:hint="eastAsia"/>
        </w:rPr>
      </w:pPr>
    </w:p>
    <w:p w14:paraId="487DA324">
      <w:pPr>
        <w:spacing w:after="240"/>
        <w:rPr>
          <w:rFonts w:hint="eastAsia"/>
        </w:rPr>
      </w:pPr>
      <w:r>
        <w:rPr>
          <w:rFonts w:hint="eastAsia"/>
        </w:rPr>
        <w:t>市政协党组召开述责述廉会议</w:t>
      </w:r>
    </w:p>
    <w:p w14:paraId="66118CB7">
      <w:pPr>
        <w:pStyle w:val="26"/>
        <w:bidi w:val="0"/>
        <w:rPr>
          <w:rFonts w:hint="eastAsia"/>
          <w:lang w:val="en-US" w:eastAsia="zh-CN"/>
        </w:rPr>
      </w:pPr>
      <w:r>
        <w:rPr>
          <w:rFonts w:hint="eastAsia"/>
        </w:rPr>
        <w:t>2</w:t>
      </w:r>
      <w:r>
        <w:rPr>
          <w:rFonts w:hint="eastAsia"/>
          <w:lang w:val="en-US" w:eastAsia="zh-CN"/>
        </w:rPr>
        <w:t>月18日，市政协党组书记、主席张国旺主持召开市政协党组2024年度述责述廉会议。市政协党组成员围绕执行政治纪律和政治规矩、履行管党治党责任、推进党风廉政建设和反腐败工作、执行廉洁纪律情况，逐一深入查摆问题，明确整改措施。张国旺进行集中点评并作总结讲话。他指出，去年以来，市政协党组深入贯彻新时代党的建设总要求，坚持用改革精神和严的标准管党治党，深入开展党纪学习教育，推动全面从严治党向纵深发展。</w:t>
      </w:r>
    </w:p>
    <w:p w14:paraId="44C106C1">
      <w:pPr>
        <w:pStyle w:val="26"/>
        <w:bidi w:val="0"/>
        <w:rPr>
          <w:rFonts w:hint="eastAsia"/>
          <w:lang w:val="en-US" w:eastAsia="zh-CN"/>
        </w:rPr>
      </w:pPr>
      <w:r>
        <w:rPr>
          <w:rFonts w:hint="eastAsia"/>
          <w:lang w:val="en-US" w:eastAsia="zh-CN"/>
        </w:rPr>
        <w:t>张国旺强调，要以此次述责述廉为契机，深入学习贯彻习近平总书记关于党的建设的重要思想、关于党的自我革命的重要思想，认真贯彻二十届中央纪委四次全会精神和省委市委部署要求，以全面从严治党新成效为政协事业高质量发展提供坚强保障。</w:t>
      </w:r>
    </w:p>
    <w:p w14:paraId="33C07A89">
      <w:pPr>
        <w:pStyle w:val="26"/>
        <w:bidi w:val="0"/>
        <w:rPr>
          <w:rFonts w:hint="eastAsia"/>
          <w:lang w:val="en-US" w:eastAsia="zh-CN"/>
        </w:rPr>
      </w:pPr>
      <w:r>
        <w:rPr>
          <w:rFonts w:hint="eastAsia"/>
          <w:lang w:val="en-US" w:eastAsia="zh-CN"/>
        </w:rPr>
        <w:t>要在旗帜鲜明讲政治上作表率，坚持不懈用习近平新时代中国特色社会主义思想凝心铸魂，强化思想政治引领，切实担负起把党中央决策部署和对人民政协工作要求落实下去、把海内外中华儿女智慧和力量凝聚起来的政治责任。</w:t>
      </w:r>
    </w:p>
    <w:p w14:paraId="2D05AC18">
      <w:pPr>
        <w:pStyle w:val="26"/>
        <w:bidi w:val="0"/>
        <w:rPr>
          <w:rFonts w:hint="eastAsia"/>
          <w:lang w:val="en-US" w:eastAsia="zh-CN"/>
        </w:rPr>
      </w:pPr>
      <w:r>
        <w:rPr>
          <w:rFonts w:hint="eastAsia"/>
          <w:lang w:val="en-US" w:eastAsia="zh-CN"/>
        </w:rPr>
        <w:t>要在真抓实干强担当上作表率，围绕市委市政府中心大局，持续深化拓展“三争”行动、开展“奋力拼搏、奋勇争先”专项行动，坚持建言资政与凝聚共识双向发力，精深调研、精准建言，以履职成效检验市政协党建工作的质量和水平。</w:t>
      </w:r>
    </w:p>
    <w:p w14:paraId="3DC7F4F2">
      <w:pPr>
        <w:pStyle w:val="26"/>
        <w:bidi w:val="0"/>
        <w:rPr>
          <w:rFonts w:hint="eastAsia"/>
          <w:lang w:val="en-US" w:eastAsia="zh-CN"/>
        </w:rPr>
      </w:pPr>
      <w:r>
        <w:rPr>
          <w:rFonts w:hint="eastAsia"/>
          <w:lang w:val="en-US" w:eastAsia="zh-CN"/>
        </w:rPr>
        <w:t>要在清正廉洁守底线上作表率，推进党纪学习教育常态化长效化，坚持以严的基调正风肃纪反腐，不断巩固拓展风清气正的政治生态。市政协十四届四次会议收到提案668件</w:t>
      </w:r>
    </w:p>
    <w:p w14:paraId="32A9C529">
      <w:pPr>
        <w:spacing w:after="240"/>
        <w:rPr>
          <w:rFonts w:hint="eastAsia"/>
        </w:rPr>
      </w:pPr>
    </w:p>
    <w:p w14:paraId="6BAB28A3">
      <w:pPr>
        <w:spacing w:after="240"/>
        <w:rPr>
          <w:rFonts w:hint="eastAsia"/>
        </w:rPr>
      </w:pPr>
    </w:p>
    <w:p w14:paraId="493E8E5B">
      <w:pPr>
        <w:spacing w:after="240"/>
        <w:rPr>
          <w:rFonts w:hint="eastAsia"/>
        </w:rPr>
      </w:pPr>
      <w:r>
        <w:rPr>
          <w:rFonts w:hint="eastAsia"/>
        </w:rPr>
        <w:t>张国旺赴同安军营村及高山党校初心使命馆调研</w:t>
      </w:r>
    </w:p>
    <w:p w14:paraId="283459BF">
      <w:pPr>
        <w:pStyle w:val="26"/>
        <w:bidi w:val="0"/>
        <w:rPr>
          <w:rFonts w:hint="eastAsia"/>
        </w:rPr>
      </w:pPr>
      <w:r>
        <w:rPr>
          <w:rFonts w:hint="eastAsia"/>
        </w:rPr>
        <w:t>2月7日，市政协主席张国旺前往同安区，实地调研军营村及高山党校初心使命馆。市政协秘书长钟伟东参加调研。</w:t>
      </w:r>
    </w:p>
    <w:p w14:paraId="698DB662">
      <w:pPr>
        <w:pStyle w:val="26"/>
        <w:bidi w:val="0"/>
        <w:rPr>
          <w:rFonts w:hint="eastAsia"/>
        </w:rPr>
      </w:pPr>
      <w:r>
        <w:rPr>
          <w:rFonts w:hint="eastAsia"/>
        </w:rPr>
        <w:t>在高山党校初心使命馆，张国旺认真听取馆长苏银坂的介绍，详细了解高山党校的历史沿革、初心使命及在教学培训方面的成果，重温习近平总书记当年两上高山访贫问苦、指导脱贫的高山情缘。随后沿着习近平总书记昔日的考察路线走访军营村，进一步了解军营村从贫困山村蝶变为美丽乡村的生动实践。</w:t>
      </w:r>
    </w:p>
    <w:p w14:paraId="1C24C0EA">
      <w:pPr>
        <w:pStyle w:val="26"/>
        <w:bidi w:val="0"/>
        <w:rPr>
          <w:rFonts w:hint="eastAsia"/>
        </w:rPr>
      </w:pPr>
      <w:r>
        <w:rPr>
          <w:rFonts w:hint="eastAsia"/>
        </w:rPr>
        <w:t>张国旺走进高泉国旧居，深切感受习近平总书记心系贫困山区、关心群众冷暖的为民情怀和深入基层调研、寻求摆脱贫困的务实作风。途中听取了军营村党支部书记高泉伟对军营村在生态治理、民宿经营等方面的介绍，以及近年来军营村在党建引领乡村振兴方面的创新实践。张国旺肯定军营村建设取得的新成果，勉励大家牢记习近平总书记殷殷嘱托，更加自觉地把感恩之情转化为坚定拥护“两个确立”、坚决做到“两个维护”的实际行动，深入学习贯彻习近平总书记在福建、厦门考察时的重要讲话精神，沿着习近平总书记指引的方向，奋力拼搏、奋勇争先，推进乡村全面振兴，把村庄建设得更美，把日子过得更红火。</w:t>
      </w:r>
    </w:p>
    <w:p w14:paraId="479C8AB8">
      <w:pPr>
        <w:spacing w:after="240"/>
        <w:rPr>
          <w:rFonts w:hint="eastAsia"/>
        </w:rPr>
      </w:pPr>
    </w:p>
    <w:p w14:paraId="40576B07">
      <w:pPr>
        <w:spacing w:after="240"/>
        <w:rPr>
          <w:rFonts w:hint="eastAsia"/>
        </w:rPr>
      </w:pPr>
      <w:r>
        <w:rPr>
          <w:rFonts w:hint="eastAsia"/>
        </w:rPr>
        <w:t>张国旺前往深田社区调研基层党建工作</w:t>
      </w:r>
    </w:p>
    <w:p w14:paraId="096F5831">
      <w:pPr>
        <w:pStyle w:val="26"/>
        <w:bidi w:val="0"/>
        <w:rPr>
          <w:rFonts w:hint="eastAsia"/>
        </w:rPr>
      </w:pPr>
      <w:r>
        <w:rPr>
          <w:rFonts w:hint="eastAsia"/>
        </w:rPr>
        <w:t>2月8日，市政协主席张国旺前往思明区开元街道深田社区调研城市基层党建工作。市政协副主席、思明区委书记林重阳，市政协秘书长钟伟东、办公厅主任温普华，思明区委副书记徐艳等参加。</w:t>
      </w:r>
    </w:p>
    <w:p w14:paraId="5C7C6664">
      <w:pPr>
        <w:pStyle w:val="26"/>
        <w:bidi w:val="0"/>
        <w:rPr>
          <w:rFonts w:hint="eastAsia"/>
        </w:rPr>
      </w:pPr>
      <w:r>
        <w:rPr>
          <w:rFonts w:hint="eastAsia"/>
        </w:rPr>
        <w:t>在深田社区历史文化馆和政治生活馆里，张国旺认真观看了每一张图片、每一段视频、每一份文史资料，详细了解厦门的历史变迁和发展成就。他说，图强小区是习近平总书记在厦工作期间的居住地，总书记在这里留下了宝贵的精神财富，我们一定要学习好、领会好、传承好、发扬好。他表示，作为党性教育基地，深田社区立足辖区实际和优势特点，探索建立了党建引领基层治理、共建共治共享的“近邻”党建模式，成效明显，创新思路和扎实举措值得学习。</w:t>
      </w:r>
    </w:p>
    <w:p w14:paraId="32CF6919">
      <w:pPr>
        <w:pStyle w:val="26"/>
        <w:bidi w:val="0"/>
        <w:rPr>
          <w:rFonts w:hint="eastAsia"/>
        </w:rPr>
      </w:pPr>
      <w:r>
        <w:rPr>
          <w:rFonts w:hint="eastAsia"/>
        </w:rPr>
        <w:t>张国旺强调，新年伊始，市政协要深入学习贯彻习近平总书记在福建、厦门考察时的重要讲话精神，积极响应市委关于持续深化拓展“三争”行动、开展“奋力拼搏、奋勇争先”专项行动的号召，坚持党建引领，加强政治统领，强化组织建设，进一步激发机关党员干部和广大政协委员干事创业精气神，聚焦城市发展，凝聚思想共识，为开启厦门政协事业发展新篇章作出新贡献。</w:t>
      </w:r>
    </w:p>
    <w:p w14:paraId="1353FC7E">
      <w:pPr>
        <w:spacing w:after="240"/>
        <w:rPr>
          <w:rFonts w:hint="eastAsia"/>
        </w:rPr>
      </w:pPr>
    </w:p>
    <w:p w14:paraId="08163119">
      <w:pPr>
        <w:spacing w:after="240"/>
        <w:rPr>
          <w:rFonts w:hint="eastAsia"/>
        </w:rPr>
      </w:pPr>
      <w:r>
        <w:rPr>
          <w:rFonts w:hint="eastAsia"/>
        </w:rPr>
        <w:t>张国旺赴筼筜故事馆、筼筜书院调研</w:t>
      </w:r>
    </w:p>
    <w:p w14:paraId="088D857D">
      <w:pPr>
        <w:pStyle w:val="26"/>
        <w:bidi w:val="0"/>
        <w:rPr>
          <w:rFonts w:hint="eastAsia"/>
        </w:rPr>
      </w:pPr>
      <w:r>
        <w:rPr>
          <w:rFonts w:hint="eastAsia"/>
        </w:rPr>
        <w:t>2月11日，市政协主席张国旺前往筼筜故事馆、筼筜书院调研。市政协办公厅主任温普华参加。</w:t>
      </w:r>
    </w:p>
    <w:p w14:paraId="66A41EC7">
      <w:pPr>
        <w:pStyle w:val="26"/>
        <w:bidi w:val="0"/>
        <w:rPr>
          <w:rFonts w:hint="eastAsia"/>
        </w:rPr>
      </w:pPr>
      <w:r>
        <w:rPr>
          <w:rFonts w:hint="eastAsia"/>
        </w:rPr>
        <w:t>在筼筜故事馆，张国旺详细了解筼筜湖从“臭水湖”到“城市会客厅”的蝶变历程。随后，他还来到筼筜湖畔，察看湖体、水质和筼筜书院使用情况。</w:t>
      </w:r>
    </w:p>
    <w:p w14:paraId="340C2E29">
      <w:pPr>
        <w:pStyle w:val="26"/>
        <w:bidi w:val="0"/>
        <w:rPr>
          <w:rFonts w:hint="eastAsia"/>
        </w:rPr>
      </w:pPr>
      <w:r>
        <w:rPr>
          <w:rFonts w:hint="eastAsia"/>
        </w:rPr>
        <w:t>张国旺指出，厦门是习近平生态文明思想的重要孕育地和先行实践地，筼筜湖综合治理是习近平生态文明思想的重要发端，我们要从理论源头、实践起点上感悟思想伟力、激发奋进动力，切实把学习成果转化为牢记嘱托、感恩奋进的生动实践。他强调，市政协要深学笃行习近平生态文明思想，久久为功，持续助力深化拓展“厦门实践”，为建设人与自然和谐共生的中国式现代化贡献政协智慧和力量。</w:t>
      </w:r>
    </w:p>
    <w:p w14:paraId="7E6D0B1E">
      <w:pPr>
        <w:pStyle w:val="13"/>
        <w:rPr>
          <w:rFonts w:hint="eastAsia"/>
        </w:rPr>
      </w:pPr>
    </w:p>
    <w:p w14:paraId="63E1EA2E">
      <w:pPr>
        <w:pStyle w:val="2"/>
        <w:spacing w:afterLines="0" w:line="360" w:lineRule="auto"/>
        <w:rPr>
          <w:rFonts w:hint="eastAsia"/>
        </w:rPr>
      </w:pPr>
      <w:r>
        <w:rPr>
          <w:rFonts w:hint="eastAsia"/>
          <w:b/>
          <w:highlight w:val="yellow"/>
          <w:lang w:eastAsia="zh-CN"/>
        </w:rPr>
        <w:t>委员风采</w:t>
      </w:r>
    </w:p>
    <w:p w14:paraId="20BAAC6E">
      <w:pPr>
        <w:bidi w:val="0"/>
        <w:rPr>
          <w:rFonts w:hint="eastAsia"/>
          <w:lang w:val="en-US" w:eastAsia="zh-CN"/>
        </w:rPr>
      </w:pPr>
      <w:r>
        <w:rPr>
          <w:rFonts w:hint="eastAsia"/>
          <w:lang w:val="en-US" w:eastAsia="zh-CN"/>
        </w:rPr>
        <w:t>夏先鹏：构建出海企业强大的知识产权合规和保护体系</w:t>
      </w:r>
    </w:p>
    <w:p w14:paraId="4FF636E6">
      <w:pPr>
        <w:pStyle w:val="28"/>
        <w:bidi w:val="0"/>
        <w:jc w:val="left"/>
        <w:rPr>
          <w:rFonts w:hint="eastAsia"/>
          <w:lang w:val="en-US" w:eastAsia="zh-CN"/>
        </w:rPr>
      </w:pPr>
      <w:r>
        <w:rPr>
          <w:rFonts w:hint="eastAsia"/>
          <w:lang w:val="en-US" w:eastAsia="zh-CN"/>
        </w:rPr>
        <w:t>夏先鹏</w:t>
      </w:r>
    </w:p>
    <w:p w14:paraId="6D89BF22">
      <w:pPr>
        <w:pStyle w:val="28"/>
        <w:bidi w:val="0"/>
        <w:jc w:val="left"/>
        <w:rPr>
          <w:rFonts w:hint="eastAsia"/>
          <w:lang w:val="en-US" w:eastAsia="zh-CN"/>
        </w:rPr>
      </w:pPr>
      <w:r>
        <w:rPr>
          <w:rFonts w:hint="eastAsia"/>
          <w:lang w:val="en-US" w:eastAsia="zh-CN"/>
        </w:rPr>
        <w:t>福建省政协常委</w:t>
      </w:r>
    </w:p>
    <w:p w14:paraId="1772936D">
      <w:pPr>
        <w:pStyle w:val="28"/>
        <w:bidi w:val="0"/>
        <w:jc w:val="left"/>
        <w:rPr>
          <w:rFonts w:hint="eastAsia"/>
          <w:lang w:val="en-US" w:eastAsia="zh-CN"/>
        </w:rPr>
      </w:pPr>
      <w:r>
        <w:rPr>
          <w:rFonts w:hint="eastAsia"/>
          <w:lang w:val="en-US" w:eastAsia="zh-CN"/>
        </w:rPr>
        <w:t>民革福建省委会主委</w:t>
      </w:r>
    </w:p>
    <w:p w14:paraId="35BE6DDA">
      <w:pPr>
        <w:pStyle w:val="26"/>
        <w:bidi w:val="0"/>
        <w:rPr>
          <w:rFonts w:hint="eastAsia"/>
          <w:lang w:val="en-US" w:eastAsia="zh-CN"/>
        </w:rPr>
      </w:pPr>
      <w:r>
        <w:rPr>
          <w:rFonts w:hint="eastAsia"/>
          <w:lang w:val="en-US" w:eastAsia="zh-CN"/>
        </w:rPr>
        <w:t>在今年的省两会上，福建省政协常委、民革福建省委会主委夏先鹏提交提案，建议出海企业需要提高自身知识产权意识，通过科学规划、合理布局和积极应对，构建强大的知识产权合规和保护体系，有效降低风险，以便在全球市场竞争中立于不败之地。</w:t>
      </w:r>
    </w:p>
    <w:p w14:paraId="3C02681E">
      <w:pPr>
        <w:pStyle w:val="26"/>
        <w:bidi w:val="0"/>
        <w:rPr>
          <w:rFonts w:hint="eastAsia"/>
          <w:lang w:val="en-US" w:eastAsia="zh-CN"/>
        </w:rPr>
      </w:pPr>
      <w:r>
        <w:rPr>
          <w:rFonts w:hint="eastAsia"/>
          <w:lang w:val="en-US" w:eastAsia="zh-CN"/>
        </w:rPr>
        <w:t>“中国企业出海过程中涉外知识产权风险是必须直面的挑战。”夏先鹏表示，知识产权侵权风险是我国企业出海过程中比较常见的传统风险，主要包括知识产权侵权诉讼风险和侵权投诉风险等。同时，知识产权海外抢注造成资产流失的风险不容忽视。</w:t>
      </w:r>
    </w:p>
    <w:p w14:paraId="655FA02F">
      <w:pPr>
        <w:pStyle w:val="26"/>
        <w:bidi w:val="0"/>
        <w:rPr>
          <w:rFonts w:hint="eastAsia"/>
          <w:lang w:val="en-US" w:eastAsia="zh-CN"/>
        </w:rPr>
      </w:pPr>
      <w:r>
        <w:rPr>
          <w:rFonts w:hint="eastAsia"/>
          <w:lang w:val="en-US" w:eastAsia="zh-CN"/>
        </w:rPr>
        <w:t>如何维护我国出海企业合法权益？夏先鹏认为，一是加强对自身知识产权的管理。企业要对自主创新成果积极进行知识产权申请和维护，建立从研发到销售的全流程知识产权管理制度，设置专门的知识产权部门，负责监督和执行管理；二是充分研究出海目标国的知识产权法律法规和相应的执法司法环境，企业在海外运营前需要充分调研当地的知识产权制度，将其作为投资和运营评估的重要考虑因素；三是学习和熟悉跨境电商平台规则。各大跨境电商平台均对其知识产权规则进行公示和详解。跨境电商企业应当提前学习和研究各大跨境电商平台的知识产权规则，参与和组织相关平台规则培训，内部划定合规红线。</w:t>
      </w:r>
    </w:p>
    <w:p w14:paraId="24BC021E">
      <w:pPr>
        <w:pStyle w:val="26"/>
        <w:bidi w:val="0"/>
        <w:rPr>
          <w:rFonts w:hint="eastAsia"/>
          <w:lang w:val="en-US" w:eastAsia="zh-CN"/>
        </w:rPr>
      </w:pPr>
      <w:r>
        <w:rPr>
          <w:rFonts w:hint="eastAsia"/>
          <w:lang w:val="en-US" w:eastAsia="zh-CN"/>
        </w:rPr>
        <w:t>夏先鹏建议要采取前瞻性策略。一是预先做好竞争对手调研。了解出海目标国竞争对手以及其知识产权布局情况。二是根据不同国家的知识产权立法执法情况，以及竞争对手情况，建立相应的知识产权预警响应机制和知识产权风险管理模式。三是加紧知识产权海外布局。产品在策划阶段、最迟在进入市场前，要先启动知识产权申请，防范知识产权抢注。四是提前做好风险排查。在产品进入海外目标市场或者参加海外展会前，要做好专利侵权风险分析等前端检索和排查，排除潜在的知识产权风险；做好合作方知识产权背景调查，在合作协议中明确知识产权归属和使用权以及知识产权合规义务，建立合作方黑名单制度，防止侵权风险传导至自身。</w:t>
      </w:r>
    </w:p>
    <w:p w14:paraId="4E73907B">
      <w:pPr>
        <w:pStyle w:val="28"/>
        <w:bidi w:val="0"/>
        <w:rPr>
          <w:rFonts w:hint="eastAsia"/>
          <w:lang w:val="en-US" w:eastAsia="zh-CN"/>
        </w:rPr>
      </w:pPr>
      <w:r>
        <w:rPr>
          <w:rFonts w:hint="eastAsia"/>
          <w:lang w:val="en-US" w:eastAsia="zh-CN"/>
        </w:rPr>
        <w:t>（来源：央广网）</w:t>
      </w:r>
    </w:p>
    <w:p w14:paraId="42964342">
      <w:pPr>
        <w:pStyle w:val="28"/>
        <w:bidi w:val="0"/>
        <w:rPr>
          <w:rFonts w:hint="eastAsia"/>
          <w:lang w:val="en-US" w:eastAsia="zh-CN"/>
        </w:rPr>
      </w:pPr>
    </w:p>
    <w:p w14:paraId="66AF80C9">
      <w:pPr>
        <w:bidi w:val="0"/>
        <w:rPr>
          <w:rFonts w:hint="eastAsia"/>
          <w:lang w:val="en-US" w:eastAsia="zh-CN"/>
        </w:rPr>
      </w:pPr>
      <w:r>
        <w:rPr>
          <w:rFonts w:hint="eastAsia"/>
          <w:lang w:val="en-US" w:eastAsia="zh-CN"/>
        </w:rPr>
        <w:t>吴丽冰：提供精准税务服务 促进台企在大陆投资发展</w:t>
      </w:r>
    </w:p>
    <w:p w14:paraId="595EA9D0">
      <w:pPr>
        <w:pStyle w:val="28"/>
        <w:bidi w:val="0"/>
        <w:jc w:val="left"/>
        <w:rPr>
          <w:rFonts w:hint="eastAsia"/>
          <w:lang w:val="en-US" w:eastAsia="zh-CN"/>
        </w:rPr>
      </w:pPr>
      <w:r>
        <w:rPr>
          <w:rFonts w:hint="eastAsia"/>
          <w:lang w:val="en-US" w:eastAsia="zh-CN"/>
        </w:rPr>
        <w:t>吴丽冰</w:t>
      </w:r>
    </w:p>
    <w:p w14:paraId="1804F784">
      <w:pPr>
        <w:pStyle w:val="28"/>
        <w:bidi w:val="0"/>
        <w:jc w:val="left"/>
        <w:rPr>
          <w:rFonts w:hint="eastAsia"/>
          <w:lang w:val="en-US" w:eastAsia="zh-CN"/>
        </w:rPr>
      </w:pPr>
      <w:r>
        <w:rPr>
          <w:rFonts w:hint="eastAsia"/>
          <w:lang w:val="en-US" w:eastAsia="zh-CN"/>
        </w:rPr>
        <w:t>福建省政协常委</w:t>
      </w:r>
    </w:p>
    <w:p w14:paraId="5AA81C6E">
      <w:pPr>
        <w:pStyle w:val="28"/>
        <w:bidi w:val="0"/>
        <w:jc w:val="left"/>
        <w:rPr>
          <w:rFonts w:hint="eastAsia"/>
          <w:lang w:val="en-US" w:eastAsia="zh-CN"/>
        </w:rPr>
      </w:pPr>
      <w:r>
        <w:rPr>
          <w:rFonts w:hint="eastAsia"/>
          <w:lang w:val="en-US" w:eastAsia="zh-CN"/>
        </w:rPr>
        <w:t>民进厦门市委员会主委</w:t>
      </w:r>
    </w:p>
    <w:p w14:paraId="16D7E6A7">
      <w:pPr>
        <w:pStyle w:val="26"/>
        <w:bidi w:val="0"/>
        <w:rPr>
          <w:rFonts w:hint="eastAsia"/>
          <w:lang w:val="en-US" w:eastAsia="zh-CN"/>
        </w:rPr>
      </w:pPr>
      <w:r>
        <w:rPr>
          <w:rFonts w:hint="eastAsia"/>
          <w:lang w:val="en-US" w:eastAsia="zh-CN"/>
        </w:rPr>
        <w:t>对台资企业而言，税收政策的优化直接影响其投资的积极性和增资扩产的可行性。现行涉及台企的税收优惠政策覆盖台企的全生命周期，促进了台资企业在大陆的投资和发展。</w:t>
      </w:r>
    </w:p>
    <w:p w14:paraId="3EA4847C">
      <w:pPr>
        <w:pStyle w:val="26"/>
        <w:bidi w:val="0"/>
        <w:rPr>
          <w:rFonts w:hint="eastAsia"/>
          <w:lang w:val="en-US" w:eastAsia="zh-CN"/>
        </w:rPr>
      </w:pPr>
      <w:r>
        <w:rPr>
          <w:rFonts w:hint="eastAsia"/>
          <w:lang w:val="en-US" w:eastAsia="zh-CN"/>
        </w:rPr>
        <w:t>为确保减税降费优惠政策让在闽台胞台企应知尽知、应享尽享，推进以惠促融，落实台胞台企同等待遇的重要任务，在福建省政协十三届三次会议期间，福建省政协常委、民进厦门市委员会主委吴丽冰建议，加强税务精准服务，增强台胞台企税务理解。</w:t>
      </w:r>
    </w:p>
    <w:p w14:paraId="639A438D">
      <w:pPr>
        <w:pStyle w:val="26"/>
        <w:bidi w:val="0"/>
        <w:rPr>
          <w:rFonts w:hint="eastAsia"/>
          <w:lang w:val="en-US" w:eastAsia="zh-CN"/>
        </w:rPr>
      </w:pPr>
      <w:r>
        <w:rPr>
          <w:rFonts w:hint="eastAsia"/>
          <w:lang w:val="en-US" w:eastAsia="zh-CN"/>
        </w:rPr>
        <w:t>在调研中，吴丽冰发现，对台企税收优惠政策执行过程中，政企沟通协作不足影响政策执行成效，优惠政策执行差异也影响着台企的获得感。</w:t>
      </w:r>
    </w:p>
    <w:p w14:paraId="02A58F92">
      <w:pPr>
        <w:pStyle w:val="26"/>
        <w:bidi w:val="0"/>
        <w:rPr>
          <w:rFonts w:hint="eastAsia"/>
          <w:lang w:val="en-US" w:eastAsia="zh-CN"/>
        </w:rPr>
      </w:pPr>
      <w:r>
        <w:rPr>
          <w:rFonts w:hint="eastAsia"/>
          <w:lang w:val="en-US" w:eastAsia="zh-CN"/>
        </w:rPr>
        <w:t>为此，吴丽冰建议，一方面加强税企共建，促进在闽台企合规发展。一是税务机关与在闽台资企业建立更紧密的合作关系，提供主动性服务，如定期的税务健康检查、税收筹划建议等，帮助企业优化税务管理，降低潜在的税务风险。二是税务机关与企业共同参与风险评估，确保企业在享受税收优惠的同时，也能遵守税法规定，实现合规发展。</w:t>
      </w:r>
    </w:p>
    <w:p w14:paraId="4D10FA3F">
      <w:pPr>
        <w:pStyle w:val="26"/>
        <w:bidi w:val="0"/>
        <w:rPr>
          <w:rFonts w:hint="eastAsia"/>
          <w:lang w:val="en-US" w:eastAsia="zh-CN"/>
        </w:rPr>
      </w:pPr>
      <w:r>
        <w:rPr>
          <w:rFonts w:hint="eastAsia"/>
          <w:lang w:val="en-US" w:eastAsia="zh-CN"/>
        </w:rPr>
        <w:t>另一方面，提供精准服务，增强台胞台企税务理解。一是加强与台办、台联、台商协会等部门和协会沟通，充分调研台胞台企对大陆税费政策理解的难点问题，充分运用“台商税收讲堂”等平台，为台胞台企答疑解惑。二是组织税务专家对企业财务人员进行定期培训，提高台资企业对税收政策的理解与应用能力。三是加强对台湾税制和两岸税制对比的研究，找准沟通切入点，助力台胞台企增进对大陆税制的理解。四是推广厦门市同安区开通台胞台企税务“双语”专线，由台籍人士担任咨询员向台胞作税费政策宣传讲解等做法，让台胞服务台胞。</w:t>
      </w:r>
    </w:p>
    <w:p w14:paraId="2FDE39B6">
      <w:pPr>
        <w:pStyle w:val="26"/>
        <w:bidi w:val="0"/>
        <w:rPr>
          <w:rFonts w:hint="eastAsia"/>
          <w:lang w:val="en-US" w:eastAsia="zh-CN"/>
        </w:rPr>
      </w:pPr>
      <w:r>
        <w:rPr>
          <w:rFonts w:hint="eastAsia"/>
          <w:lang w:val="en-US" w:eastAsia="zh-CN"/>
        </w:rPr>
        <w:t>此外，吴丽冰还建议税务部门因地制宜，优化税务政策服务保障。一是建议税务机关加强与厦门大学、福州大学等高校或相关研究机构合作，对税收政策的执行效果进行深入调研，进一步调整、优化政策，使之更贴合企业发展和市场需求。如放宽加计扣除留存备查资料的要求，加强对项目实质创新考核。二是强化税收政策的透明度与执行力，确保所有信息公开透明，让台资企业能够及时了解和准确把握政策动态。</w:t>
      </w:r>
    </w:p>
    <w:p w14:paraId="5C5A3785">
      <w:pPr>
        <w:pStyle w:val="28"/>
        <w:bidi w:val="0"/>
        <w:rPr>
          <w:rFonts w:hint="eastAsia"/>
          <w:lang w:val="en-US" w:eastAsia="zh-CN"/>
        </w:rPr>
      </w:pPr>
      <w:r>
        <w:rPr>
          <w:rFonts w:hint="eastAsia"/>
          <w:lang w:val="en-US" w:eastAsia="zh-CN"/>
        </w:rPr>
        <w:t>（来源：央广网）</w:t>
      </w:r>
    </w:p>
    <w:p w14:paraId="3ACE08C3">
      <w:pPr>
        <w:pStyle w:val="28"/>
        <w:bidi w:val="0"/>
        <w:rPr>
          <w:rFonts w:hint="eastAsia"/>
          <w:lang w:val="en-US" w:eastAsia="zh-CN"/>
        </w:rPr>
      </w:pPr>
    </w:p>
    <w:p w14:paraId="5EF5FADF">
      <w:pPr>
        <w:pStyle w:val="28"/>
        <w:bidi w:val="0"/>
        <w:jc w:val="center"/>
        <w:rPr>
          <w:rFonts w:hint="eastAsia"/>
          <w:lang w:val="en-US" w:eastAsia="zh-CN"/>
        </w:rPr>
      </w:pPr>
      <w:r>
        <w:rPr>
          <w:rFonts w:hint="eastAsia" w:eastAsia="宋体" w:asciiTheme="minorHAnsi" w:hAnsiTheme="minorHAnsi" w:cstheme="minorBidi"/>
          <w:b/>
          <w:color w:val="000000" w:themeColor="text1"/>
          <w:kern w:val="2"/>
          <w:sz w:val="32"/>
          <w:szCs w:val="22"/>
          <w:lang w:val="en-US" w:eastAsia="zh-CN" w:bidi="ar-SA"/>
        </w:rPr>
        <w:t>陈鸣：全力打造涉台司法服务优选地</w:t>
      </w:r>
    </w:p>
    <w:p w14:paraId="1734248C">
      <w:pPr>
        <w:pStyle w:val="28"/>
        <w:bidi w:val="0"/>
        <w:jc w:val="left"/>
        <w:rPr>
          <w:rFonts w:hint="eastAsia"/>
          <w:lang w:val="en-US" w:eastAsia="zh-CN"/>
        </w:rPr>
      </w:pPr>
      <w:r>
        <w:rPr>
          <w:rFonts w:hint="eastAsia"/>
          <w:lang w:val="en-US" w:eastAsia="zh-CN"/>
        </w:rPr>
        <w:t>陈鸣</w:t>
      </w:r>
    </w:p>
    <w:p w14:paraId="39BB0855">
      <w:pPr>
        <w:pStyle w:val="28"/>
        <w:bidi w:val="0"/>
        <w:jc w:val="left"/>
        <w:rPr>
          <w:rFonts w:hint="eastAsia"/>
          <w:lang w:val="en-US" w:eastAsia="zh-CN"/>
        </w:rPr>
      </w:pPr>
      <w:r>
        <w:rPr>
          <w:rFonts w:hint="eastAsia"/>
          <w:lang w:val="en-US" w:eastAsia="zh-CN"/>
        </w:rPr>
        <w:t>福建省政协委员</w:t>
      </w:r>
    </w:p>
    <w:p w14:paraId="78E4F08E">
      <w:pPr>
        <w:pStyle w:val="28"/>
        <w:bidi w:val="0"/>
        <w:jc w:val="left"/>
        <w:rPr>
          <w:rFonts w:hint="eastAsia"/>
          <w:lang w:val="en-US" w:eastAsia="zh-CN"/>
        </w:rPr>
      </w:pPr>
      <w:r>
        <w:rPr>
          <w:rFonts w:hint="eastAsia"/>
          <w:lang w:val="en-US" w:eastAsia="zh-CN"/>
        </w:rPr>
        <w:t>厦门市中级人民法院执行局副局长</w:t>
      </w:r>
    </w:p>
    <w:p w14:paraId="58129773">
      <w:pPr>
        <w:pStyle w:val="26"/>
        <w:bidi w:val="0"/>
        <w:rPr>
          <w:rFonts w:hint="eastAsia"/>
          <w:lang w:val="en-US" w:eastAsia="zh-CN"/>
        </w:rPr>
      </w:pPr>
      <w:r>
        <w:rPr>
          <w:rFonts w:hint="eastAsia"/>
          <w:lang w:val="en-US" w:eastAsia="zh-CN"/>
        </w:rPr>
        <w:t>1月12日至16日，省政协十三届三次会议在福州开幕。其间，福建省政协委员陈鸣走进海峡号融媒体中心《两会关键词·委员说》栏目，围绕“新时代涉台司法工作”等话题接受记者专访。</w:t>
      </w:r>
    </w:p>
    <w:p w14:paraId="1C2E62C2">
      <w:pPr>
        <w:pStyle w:val="26"/>
        <w:bidi w:val="0"/>
        <w:rPr>
          <w:rFonts w:hint="eastAsia"/>
          <w:lang w:val="en-US" w:eastAsia="zh-CN"/>
        </w:rPr>
      </w:pPr>
      <w:r>
        <w:rPr>
          <w:rFonts w:hint="eastAsia"/>
          <w:lang w:val="en-US" w:eastAsia="zh-CN"/>
        </w:rPr>
        <w:t>在陈鸣看来，近年来福建省司法机关以法为媒促进两岸同胞心灵契合，形成了一系列全国领先、独树一帜的涉台司法服务交流的新品牌和新成果，但新时代涉台司法工作也面临新课题新挑战。</w:t>
      </w:r>
    </w:p>
    <w:p w14:paraId="24422463">
      <w:pPr>
        <w:pStyle w:val="26"/>
        <w:bidi w:val="0"/>
        <w:rPr>
          <w:rFonts w:hint="eastAsia"/>
          <w:lang w:val="en-US" w:eastAsia="zh-CN"/>
        </w:rPr>
      </w:pPr>
      <w:r>
        <w:rPr>
          <w:rFonts w:hint="eastAsia"/>
          <w:lang w:val="en-US" w:eastAsia="zh-CN"/>
        </w:rPr>
        <w:t>对此，陈鸣建议：</w:t>
      </w:r>
    </w:p>
    <w:p w14:paraId="7D9CCB2D">
      <w:pPr>
        <w:pStyle w:val="26"/>
        <w:bidi w:val="0"/>
        <w:rPr>
          <w:rFonts w:hint="eastAsia"/>
          <w:lang w:val="en-US" w:eastAsia="zh-CN"/>
        </w:rPr>
      </w:pPr>
      <w:r>
        <w:rPr>
          <w:rFonts w:hint="eastAsia"/>
          <w:lang w:val="en-US" w:eastAsia="zh-CN"/>
        </w:rPr>
        <w:t>一是持续推动涉台纠纷化解。充分发挥台胞调解员、台胞陪审员的功能，推动法院、台办、台联、妇联等机构联合成立涉台家事纠纷化解中心，运用岛内乡亲的情感纽带推进涉台矛盾纠纷实质化解。</w:t>
      </w:r>
    </w:p>
    <w:p w14:paraId="7EC7A42F">
      <w:pPr>
        <w:pStyle w:val="26"/>
        <w:bidi w:val="0"/>
        <w:rPr>
          <w:rFonts w:hint="eastAsia"/>
          <w:lang w:val="en-US" w:eastAsia="zh-CN"/>
        </w:rPr>
      </w:pPr>
      <w:r>
        <w:rPr>
          <w:rFonts w:hint="eastAsia"/>
          <w:lang w:val="en-US" w:eastAsia="zh-CN"/>
        </w:rPr>
        <w:t>二是持续创新涉台司法服务。编制完善涉台案件在线诉讼指南，探索在对等原则下推动试点涉台企业跨境破产和对台籍负债人员的个人债务清理。</w:t>
      </w:r>
    </w:p>
    <w:p w14:paraId="51DF86EB">
      <w:pPr>
        <w:pStyle w:val="26"/>
        <w:bidi w:val="0"/>
        <w:rPr>
          <w:rFonts w:hint="eastAsia"/>
          <w:lang w:val="en-US" w:eastAsia="zh-CN"/>
        </w:rPr>
      </w:pPr>
      <w:r>
        <w:rPr>
          <w:rFonts w:hint="eastAsia"/>
          <w:lang w:val="en-US" w:eastAsia="zh-CN"/>
        </w:rPr>
        <w:t>三是持续增进对台司法交流。推动海峡两岸法院实务研讨会举办，丰富“海峡两岸大学生法院研习营”“涉台司法体验营”等活动内容。</w:t>
      </w:r>
    </w:p>
    <w:p w14:paraId="70CEBB49">
      <w:pPr>
        <w:pStyle w:val="26"/>
        <w:bidi w:val="0"/>
        <w:rPr>
          <w:rFonts w:hint="eastAsia"/>
          <w:lang w:val="en-US" w:eastAsia="zh-CN"/>
        </w:rPr>
      </w:pPr>
      <w:r>
        <w:rPr>
          <w:rFonts w:hint="eastAsia"/>
          <w:lang w:val="en-US" w:eastAsia="zh-CN"/>
        </w:rPr>
        <w:t>四是持续扩大对台司法宣传。充分发挥“两基地一中心”功能，加强涉台司法智库建设，依托在厦台籍律师建设台湾地区法律查明中心，吸引更多台湾青年投身大陆法治建设。</w:t>
      </w:r>
    </w:p>
    <w:p w14:paraId="0CBF9A99">
      <w:pPr>
        <w:pStyle w:val="28"/>
        <w:bidi w:val="0"/>
        <w:rPr>
          <w:rFonts w:hint="eastAsia"/>
          <w:lang w:val="en-US" w:eastAsia="zh-CN"/>
        </w:rPr>
      </w:pPr>
      <w:r>
        <w:rPr>
          <w:rFonts w:hint="eastAsia"/>
          <w:lang w:val="en-US" w:eastAsia="zh-CN"/>
        </w:rPr>
        <w:t>（来源：人民政协网）</w:t>
      </w:r>
    </w:p>
    <w:p w14:paraId="10A7D2C9">
      <w:pPr>
        <w:pStyle w:val="28"/>
        <w:bidi w:val="0"/>
        <w:rPr>
          <w:rFonts w:hint="eastAsia"/>
          <w:lang w:val="en-US" w:eastAsia="zh-CN"/>
        </w:rPr>
      </w:pPr>
    </w:p>
    <w:p w14:paraId="221EBA02">
      <w:pPr>
        <w:pStyle w:val="28"/>
        <w:bidi w:val="0"/>
        <w:rPr>
          <w:rFonts w:hint="eastAsia"/>
          <w:lang w:val="en-US" w:eastAsia="zh-CN"/>
        </w:rPr>
      </w:pPr>
    </w:p>
    <w:p w14:paraId="259D3170">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魏成生：营商环境优无止境</w:t>
      </w:r>
    </w:p>
    <w:p w14:paraId="3A66D5FC">
      <w:pPr>
        <w:pStyle w:val="28"/>
        <w:bidi w:val="0"/>
        <w:jc w:val="both"/>
        <w:rPr>
          <w:rFonts w:hint="eastAsia"/>
          <w:lang w:val="en-US" w:eastAsia="zh-CN"/>
        </w:rPr>
      </w:pPr>
      <w:r>
        <w:rPr>
          <w:rFonts w:hint="eastAsia"/>
          <w:lang w:val="en-US" w:eastAsia="zh-CN"/>
        </w:rPr>
        <w:t>魏成生</w:t>
      </w:r>
    </w:p>
    <w:p w14:paraId="475A42BE">
      <w:pPr>
        <w:pStyle w:val="28"/>
        <w:bidi w:val="0"/>
        <w:jc w:val="both"/>
        <w:rPr>
          <w:rFonts w:hint="eastAsia"/>
          <w:lang w:val="en-US" w:eastAsia="zh-CN"/>
        </w:rPr>
      </w:pPr>
      <w:r>
        <w:rPr>
          <w:rFonts w:hint="eastAsia"/>
          <w:lang w:val="en-US" w:eastAsia="zh-CN"/>
        </w:rPr>
        <w:t>福建省政协委员</w:t>
      </w:r>
    </w:p>
    <w:p w14:paraId="1FDEFCB7">
      <w:pPr>
        <w:pStyle w:val="28"/>
        <w:bidi w:val="0"/>
        <w:jc w:val="both"/>
        <w:rPr>
          <w:rFonts w:hint="eastAsia"/>
          <w:lang w:val="en-US" w:eastAsia="zh-CN"/>
        </w:rPr>
      </w:pPr>
      <w:r>
        <w:rPr>
          <w:rFonts w:hint="eastAsia"/>
          <w:lang w:val="en-US" w:eastAsia="zh-CN"/>
        </w:rPr>
        <w:t>均和（厦门）控股有限公司总裁</w:t>
      </w:r>
    </w:p>
    <w:p w14:paraId="4EA2778E">
      <w:pPr>
        <w:pStyle w:val="26"/>
        <w:bidi w:val="0"/>
        <w:rPr>
          <w:rFonts w:hint="eastAsia"/>
          <w:lang w:val="en-US" w:eastAsia="zh-CN"/>
        </w:rPr>
      </w:pPr>
      <w:r>
        <w:rPr>
          <w:rFonts w:hint="eastAsia"/>
          <w:lang w:val="en-US" w:eastAsia="zh-CN"/>
        </w:rPr>
        <w:t>“企业好比植物，营商环境则是阳光、雨露与土壤。”魏成生说，期待我省推出一系列新政策，让更多企业“茁壮成长、根深叶茂”。省政协委员、均和（厦门）控股有限公司总裁魏成生说。</w:t>
      </w:r>
    </w:p>
    <w:p w14:paraId="421FE019">
      <w:pPr>
        <w:pStyle w:val="26"/>
        <w:bidi w:val="0"/>
        <w:rPr>
          <w:rFonts w:hint="eastAsia"/>
          <w:lang w:val="en-US" w:eastAsia="zh-CN"/>
        </w:rPr>
      </w:pPr>
      <w:r>
        <w:rPr>
          <w:rFonts w:hint="eastAsia"/>
          <w:lang w:val="en-US" w:eastAsia="zh-CN"/>
        </w:rPr>
        <w:t>作为一名有着近30年创业经历的民营企业家，魏成生对营商环境的重要性有着切身感受。“均和这些年一路成长，跃升到省内服务业民营企业前列，并将业务拓展到国内外多地，离不开我省持续优化营商环境。”魏成生认为，自己有责任为民营企业发展与营商环境优化贡献力量。这也是他的履职初心。</w:t>
      </w:r>
    </w:p>
    <w:p w14:paraId="09793E25">
      <w:pPr>
        <w:pStyle w:val="26"/>
        <w:bidi w:val="0"/>
        <w:rPr>
          <w:rFonts w:hint="eastAsia"/>
          <w:lang w:val="en-US" w:eastAsia="zh-CN"/>
        </w:rPr>
      </w:pPr>
      <w:r>
        <w:rPr>
          <w:rFonts w:hint="eastAsia"/>
          <w:lang w:val="en-US" w:eastAsia="zh-CN"/>
        </w:rPr>
        <w:t>“产业园区，可以说是一个区域营商环境的子系统。”魏成生说，近年来，秉承支持区域制造业升级和产业创新发展的初衷，均和集团开辟了科技产业园区开发建设及服务运营业务板块。他带领团队多方调研，从前期招商到后期运营，持续追踪企业对于营商“软环境”的需求，不断为园区企业优化服务。</w:t>
      </w:r>
    </w:p>
    <w:p w14:paraId="34038F35">
      <w:pPr>
        <w:pStyle w:val="26"/>
        <w:bidi w:val="0"/>
        <w:rPr>
          <w:rFonts w:hint="eastAsia"/>
          <w:lang w:val="en-US" w:eastAsia="zh-CN"/>
        </w:rPr>
      </w:pPr>
      <w:r>
        <w:rPr>
          <w:rFonts w:hint="eastAsia"/>
          <w:lang w:val="en-US" w:eastAsia="zh-CN"/>
        </w:rPr>
        <w:t>省总商会副会长、省高科技商会会长等多重身份，让魏成生有更多机会与不同领域的企业家深入交流，倾听他们的心声。这些经历，都是他履职的“天然优势”。</w:t>
      </w:r>
    </w:p>
    <w:p w14:paraId="19235918">
      <w:pPr>
        <w:pStyle w:val="26"/>
        <w:bidi w:val="0"/>
        <w:rPr>
          <w:rFonts w:hint="eastAsia"/>
          <w:lang w:val="en-US" w:eastAsia="zh-CN"/>
        </w:rPr>
      </w:pPr>
      <w:r>
        <w:rPr>
          <w:rFonts w:hint="eastAsia"/>
          <w:lang w:val="en-US" w:eastAsia="zh-CN"/>
        </w:rPr>
        <w:t>2022年成为省政协委员以来，魏成生积极参与各类履职活动，同时结合本职工作，持续为民营企业发展与营商环境优化建言献策。2023年，聚焦后疫情时代我省外贸企业如何抢占先机问题，他提交的《关于加大力度支持我省外贸经济发展的建议》荣获省政协2023年度好提案。同年，他还获得“省政协履职优秀委员”称号。</w:t>
      </w:r>
    </w:p>
    <w:p w14:paraId="31F10F17">
      <w:pPr>
        <w:pStyle w:val="26"/>
        <w:bidi w:val="0"/>
        <w:rPr>
          <w:rFonts w:hint="eastAsia"/>
          <w:lang w:val="en-US" w:eastAsia="zh-CN"/>
        </w:rPr>
      </w:pPr>
      <w:r>
        <w:rPr>
          <w:rFonts w:hint="eastAsia"/>
          <w:lang w:val="en-US" w:eastAsia="zh-CN"/>
        </w:rPr>
        <w:t>去年，魏成生基于均和集团在各地开展的业务和对国际高标准经贸规则的分析，提出关于全面对标世界银行营商环境新评估体系的相关建议，也得到有关部门的积极反馈。</w:t>
      </w:r>
    </w:p>
    <w:p w14:paraId="6DFA7B53">
      <w:pPr>
        <w:pStyle w:val="26"/>
        <w:bidi w:val="0"/>
        <w:rPr>
          <w:rFonts w:hint="eastAsia"/>
          <w:lang w:val="en-US" w:eastAsia="zh-CN"/>
        </w:rPr>
      </w:pPr>
      <w:r>
        <w:rPr>
          <w:rFonts w:hint="eastAsia"/>
          <w:lang w:val="en-US" w:eastAsia="zh-CN"/>
        </w:rPr>
        <w:t>开启新一年的履职，魏成生已到多家企业进行调研，为细化手头的提案做准备。今年两会，他围绕“发挥高水平产业园区对优化营商环境的作用”提交相关提案。</w:t>
      </w:r>
    </w:p>
    <w:p w14:paraId="0CAE6BA6">
      <w:pPr>
        <w:pStyle w:val="26"/>
        <w:bidi w:val="0"/>
        <w:rPr>
          <w:rFonts w:hint="eastAsia"/>
          <w:lang w:val="en-US" w:eastAsia="zh-CN"/>
        </w:rPr>
      </w:pPr>
      <w:r>
        <w:rPr>
          <w:rFonts w:hint="eastAsia"/>
          <w:lang w:val="en-US" w:eastAsia="zh-CN"/>
        </w:rPr>
        <w:t>“营商环境，优无止境。”魏成生表示，将继续坚守履职初心，深入一线调研，持续为优化营商环境发声，更好助力我省企业高质量发展。</w:t>
      </w:r>
    </w:p>
    <w:p w14:paraId="5AD0C7B6">
      <w:pPr>
        <w:pStyle w:val="28"/>
        <w:bidi w:val="0"/>
        <w:rPr>
          <w:rFonts w:hint="eastAsia"/>
          <w:lang w:val="en-US" w:eastAsia="zh-CN"/>
        </w:rPr>
      </w:pPr>
      <w:r>
        <w:rPr>
          <w:rFonts w:hint="eastAsia"/>
          <w:lang w:val="en-US" w:eastAsia="zh-CN"/>
        </w:rPr>
        <w:t>（来源：福建日报）</w:t>
      </w:r>
    </w:p>
    <w:p w14:paraId="2563C119">
      <w:pPr>
        <w:pStyle w:val="28"/>
        <w:bidi w:val="0"/>
        <w:jc w:val="left"/>
        <w:rPr>
          <w:rFonts w:hint="eastAsia"/>
          <w:lang w:val="en-US" w:eastAsia="zh-CN"/>
        </w:rPr>
      </w:pPr>
    </w:p>
    <w:p w14:paraId="38870946">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眭国瑜：突破瓶颈   推动生物医药产业再上台阶</w:t>
      </w:r>
    </w:p>
    <w:p w14:paraId="7CC70B29">
      <w:pPr>
        <w:pStyle w:val="28"/>
        <w:bidi w:val="0"/>
        <w:jc w:val="left"/>
        <w:rPr>
          <w:rFonts w:hint="eastAsia"/>
          <w:lang w:val="en-US" w:eastAsia="zh-CN"/>
        </w:rPr>
      </w:pPr>
      <w:r>
        <w:rPr>
          <w:rFonts w:hint="eastAsia"/>
          <w:lang w:val="en-US" w:eastAsia="zh-CN"/>
        </w:rPr>
        <w:t>眭国瑜</w:t>
      </w:r>
    </w:p>
    <w:p w14:paraId="5AE922B0">
      <w:pPr>
        <w:pStyle w:val="28"/>
        <w:bidi w:val="0"/>
        <w:jc w:val="left"/>
        <w:rPr>
          <w:rFonts w:hint="eastAsia"/>
          <w:lang w:val="en-US" w:eastAsia="zh-CN"/>
        </w:rPr>
      </w:pPr>
      <w:r>
        <w:rPr>
          <w:rFonts w:hint="eastAsia"/>
          <w:lang w:val="en-US" w:eastAsia="zh-CN"/>
        </w:rPr>
        <w:t>福建省政协委员</w:t>
      </w:r>
    </w:p>
    <w:p w14:paraId="49157484">
      <w:pPr>
        <w:pStyle w:val="28"/>
        <w:bidi w:val="0"/>
        <w:jc w:val="left"/>
        <w:rPr>
          <w:rFonts w:hint="eastAsia"/>
          <w:lang w:val="en-US" w:eastAsia="zh-CN"/>
        </w:rPr>
      </w:pPr>
      <w:r>
        <w:rPr>
          <w:rFonts w:hint="eastAsia"/>
          <w:lang w:val="en-US" w:eastAsia="zh-CN"/>
        </w:rPr>
        <w:t>厦门市海沧台商投资区管委会副主任</w:t>
      </w:r>
    </w:p>
    <w:p w14:paraId="3D097159">
      <w:pPr>
        <w:pStyle w:val="26"/>
        <w:bidi w:val="0"/>
        <w:rPr>
          <w:rFonts w:hint="eastAsia"/>
          <w:lang w:val="en-US" w:eastAsia="zh-CN"/>
        </w:rPr>
      </w:pPr>
      <w:r>
        <w:rPr>
          <w:rFonts w:hint="eastAsia"/>
          <w:lang w:val="en-US" w:eastAsia="zh-CN"/>
        </w:rPr>
        <w:t>“近年来，我省接连出台多项政策，助力生物医药产业快速发展。”省政协委员、厦门市海沧台商投资区管委会副主任眭国瑜介绍，截至2024年底，厦门市海沧区已集聚生物医药企业504家，产业规模预计超300亿元。</w:t>
      </w:r>
    </w:p>
    <w:p w14:paraId="279DFB01">
      <w:pPr>
        <w:pStyle w:val="26"/>
        <w:bidi w:val="0"/>
        <w:rPr>
          <w:rFonts w:hint="eastAsia"/>
          <w:lang w:val="en-US" w:eastAsia="zh-CN"/>
        </w:rPr>
      </w:pPr>
      <w:r>
        <w:rPr>
          <w:rFonts w:hint="eastAsia"/>
          <w:lang w:val="en-US" w:eastAsia="zh-CN"/>
        </w:rPr>
        <w:t>“但相较于北上广等地区，我省生物医药产业的营商环境与发展水平仍有一些方面亟待提升。”眭国瑜表示，比如，我省当前的生物医药产业服务模式在广度、深度及资源整合等方面仍存在短板，创新药械成果的审评审批还有优化提升空间，在推动创新药械入院、多元支付等生物医药产业协同发展的关键环节上缺少创新做法，风险投资和产业基金等多元化渠道发展较慢等。</w:t>
      </w:r>
    </w:p>
    <w:p w14:paraId="002040D5">
      <w:pPr>
        <w:pStyle w:val="26"/>
        <w:bidi w:val="0"/>
        <w:rPr>
          <w:rFonts w:hint="eastAsia"/>
          <w:lang w:val="en-US" w:eastAsia="zh-CN"/>
        </w:rPr>
      </w:pPr>
      <w:r>
        <w:rPr>
          <w:rFonts w:hint="eastAsia"/>
          <w:lang w:val="en-US" w:eastAsia="zh-CN"/>
        </w:rPr>
        <w:t>眭国瑜认为，我省应整合各方资源，优化政策协同，提高审评审批效率，突破产业协同发展瓶颈，拓宽资金渠道，推动福建生物医药产业跃上新台阶。首先，要构建产业综合服务体系，进一步优化营商环境，建议设立省级生物医药企业综合服务协调机构，整合科技、卫健、医保、药监等多部门资源与力量，形成高效协同的服务网络。其次，要创新审评审批机制，压缩药械补充申请和药械临床试验申请的审评时限，建立优先审评审批通道，提高审批效率。此外，还要完善药械入院及采购保障机制、加强生物样本库建设共享等，强化产业应用支撑保障，为产业筑牢发展后盾。</w:t>
      </w:r>
    </w:p>
    <w:p w14:paraId="36ED9FD2">
      <w:pPr>
        <w:pStyle w:val="26"/>
        <w:bidi w:val="0"/>
        <w:rPr>
          <w:rFonts w:hint="eastAsia"/>
          <w:lang w:val="en-US" w:eastAsia="zh-CN"/>
        </w:rPr>
      </w:pPr>
      <w:r>
        <w:rPr>
          <w:rFonts w:hint="eastAsia"/>
          <w:lang w:val="en-US" w:eastAsia="zh-CN"/>
        </w:rPr>
        <w:t>“值得一提的是，生物医药研发周期长、环节多，在产业面临资本调整期之际，需要更多‘耐心资本’陪伴‘长跑’。”她说，对此，可以设立省级生物医药产业发展引导基金，吸引社会资本、风险投资等多元资金参与，拓宽融资渠道；针对初创期科技型中小生物医药企业，制定专门的扶持政策，以缓解资金压力。</w:t>
      </w:r>
    </w:p>
    <w:p w14:paraId="4F272726">
      <w:pPr>
        <w:pStyle w:val="28"/>
        <w:bidi w:val="0"/>
        <w:rPr>
          <w:rFonts w:hint="eastAsia"/>
          <w:lang w:val="en-US" w:eastAsia="zh-CN"/>
        </w:rPr>
      </w:pPr>
      <w:r>
        <w:rPr>
          <w:rFonts w:hint="eastAsia"/>
          <w:lang w:val="en-US" w:eastAsia="zh-CN"/>
        </w:rPr>
        <w:t>（来源：福建日报）</w:t>
      </w:r>
    </w:p>
    <w:p w14:paraId="090B8756">
      <w:pPr>
        <w:pStyle w:val="28"/>
        <w:bidi w:val="0"/>
        <w:rPr>
          <w:rFonts w:hint="eastAsia"/>
          <w:lang w:val="en-US" w:eastAsia="zh-CN"/>
        </w:rPr>
      </w:pPr>
    </w:p>
    <w:p w14:paraId="59A50C3A">
      <w:pPr>
        <w:pStyle w:val="28"/>
        <w:bidi w:val="0"/>
        <w:jc w:val="left"/>
        <w:rPr>
          <w:rFonts w:hint="eastAsia"/>
          <w:lang w:val="en-US" w:eastAsia="zh-CN"/>
        </w:rPr>
      </w:pPr>
    </w:p>
    <w:p w14:paraId="2B724674">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王贺军：提升高能级科技创新平台效能</w:t>
      </w:r>
    </w:p>
    <w:p w14:paraId="4FC5D560">
      <w:pPr>
        <w:pStyle w:val="28"/>
        <w:bidi w:val="0"/>
        <w:jc w:val="left"/>
        <w:rPr>
          <w:rFonts w:hint="eastAsia"/>
          <w:lang w:val="en-US" w:eastAsia="zh-CN"/>
        </w:rPr>
      </w:pPr>
      <w:r>
        <w:rPr>
          <w:rFonts w:hint="eastAsia"/>
          <w:lang w:val="en-US" w:eastAsia="zh-CN"/>
        </w:rPr>
        <w:t>王贺军</w:t>
      </w:r>
    </w:p>
    <w:p w14:paraId="597845D3">
      <w:pPr>
        <w:pStyle w:val="28"/>
        <w:bidi w:val="0"/>
        <w:jc w:val="left"/>
        <w:rPr>
          <w:rFonts w:hint="eastAsia"/>
          <w:lang w:val="en-US" w:eastAsia="zh-CN"/>
        </w:rPr>
      </w:pPr>
      <w:r>
        <w:rPr>
          <w:rFonts w:hint="eastAsia"/>
          <w:lang w:val="en-US" w:eastAsia="zh-CN"/>
        </w:rPr>
        <w:t>福建省政协委员</w:t>
      </w:r>
    </w:p>
    <w:p w14:paraId="49F4E919">
      <w:pPr>
        <w:pStyle w:val="28"/>
        <w:bidi w:val="0"/>
        <w:jc w:val="left"/>
        <w:rPr>
          <w:rFonts w:hint="eastAsia"/>
          <w:lang w:val="en-US" w:eastAsia="zh-CN"/>
        </w:rPr>
      </w:pPr>
      <w:r>
        <w:rPr>
          <w:rFonts w:hint="eastAsia"/>
          <w:lang w:val="en-US" w:eastAsia="zh-CN"/>
        </w:rPr>
        <w:t>厦门新的社会阶层人士联谊会会长</w:t>
      </w:r>
    </w:p>
    <w:p w14:paraId="6A92C785">
      <w:pPr>
        <w:pStyle w:val="26"/>
        <w:bidi w:val="0"/>
        <w:rPr>
          <w:rFonts w:hint="eastAsia"/>
          <w:lang w:val="en-US" w:eastAsia="zh-CN"/>
        </w:rPr>
      </w:pPr>
      <w:r>
        <w:rPr>
          <w:rFonts w:hint="eastAsia"/>
          <w:lang w:val="en-US" w:eastAsia="zh-CN"/>
        </w:rPr>
        <w:t>以科技创新引领新质生产力发展，是今年省两会上代表委员热议的话题之一。省政协委员、厦门新的社会阶层人士联谊会会长王贺军建议，要提升高能级科技创新平台效能，加快培育新质生产力。</w:t>
      </w:r>
    </w:p>
    <w:p w14:paraId="5042ABC4">
      <w:pPr>
        <w:pStyle w:val="26"/>
        <w:bidi w:val="0"/>
        <w:rPr>
          <w:rFonts w:hint="eastAsia"/>
          <w:lang w:val="en-US" w:eastAsia="zh-CN"/>
        </w:rPr>
      </w:pPr>
      <w:r>
        <w:rPr>
          <w:rFonts w:hint="eastAsia"/>
          <w:lang w:val="en-US" w:eastAsia="zh-CN"/>
        </w:rPr>
        <w:t>王贺军在调研中注意到，我省虽然建了许多高能级科技创新平台，但效能没有充分释放，部分平台对相关产业领域的引领带动作用尚未显现，未能形成强大的资源集聚效应；平台与企业之间的信息共享渠道不畅，影响了合作效率和效果。同时，基础研究方面投入不足，导致原创性技术成果匮乏，难以支撑产业链的持续升级。在应用开发环节，又缺少将基础研究成果转化为实际应用产品的平台和机制，许多有价值的创新成果未能及时转化为实际生产力。</w:t>
      </w:r>
    </w:p>
    <w:p w14:paraId="430DDD86">
      <w:pPr>
        <w:pStyle w:val="26"/>
        <w:bidi w:val="0"/>
        <w:rPr>
          <w:rFonts w:hint="eastAsia"/>
          <w:lang w:val="en-US" w:eastAsia="zh-CN"/>
        </w:rPr>
      </w:pPr>
      <w:r>
        <w:rPr>
          <w:rFonts w:hint="eastAsia"/>
          <w:lang w:val="en-US" w:eastAsia="zh-CN"/>
        </w:rPr>
        <w:t>如何让这些高能级科技创新平台更好发挥出作用？王贺军建议，可依托高能级科技创新平台，加快概念验证、中试验证平台建设，构建行业专家库与项目库，建立具有行业针对性的验证指标体系，提高成果转化率。</w:t>
      </w:r>
    </w:p>
    <w:p w14:paraId="54EAE39D">
      <w:pPr>
        <w:pStyle w:val="26"/>
        <w:bidi w:val="0"/>
        <w:rPr>
          <w:rFonts w:hint="eastAsia"/>
          <w:lang w:val="en-US" w:eastAsia="zh-CN"/>
        </w:rPr>
      </w:pPr>
      <w:r>
        <w:rPr>
          <w:rFonts w:hint="eastAsia"/>
          <w:lang w:val="en-US" w:eastAsia="zh-CN"/>
        </w:rPr>
        <w:t>同时，强化高能级科技创新平台与产业界的合作机制，设立专项联合研发项目，构建信息共享机制，由平台提供先进的研发设备和专业人才，企业提供市场需求和产品应用方面的指导，更好地把握市场机遇和技术挑战，实现多方一体化发展。</w:t>
      </w:r>
    </w:p>
    <w:p w14:paraId="46DBF9EE">
      <w:pPr>
        <w:pStyle w:val="26"/>
        <w:bidi w:val="0"/>
        <w:rPr>
          <w:rFonts w:hint="eastAsia"/>
          <w:lang w:val="en-US" w:eastAsia="zh-CN"/>
        </w:rPr>
      </w:pPr>
      <w:r>
        <w:rPr>
          <w:rFonts w:hint="eastAsia"/>
          <w:lang w:val="en-US" w:eastAsia="zh-CN"/>
        </w:rPr>
        <w:t>科技创新离不开资金支持。王贺军认为，应积极拓展资金来源渠道，围绕现代化产业体系，遴选出产业短缺技术、重大关键共性技术难题，设立专项基金，精准施策，对各技术环节的科技攻关和成果转化进行资助，特别是要发起设立长周期的早期科创投资基金或产业发展引导基金，鼓励投早投小，建立持续、稳定的资金支持体系，为科创项目提供初始的推动力。</w:t>
      </w:r>
    </w:p>
    <w:p w14:paraId="05D8952C">
      <w:pPr>
        <w:pStyle w:val="28"/>
        <w:bidi w:val="0"/>
        <w:rPr>
          <w:rFonts w:hint="eastAsia"/>
          <w:lang w:val="en-US" w:eastAsia="zh-CN"/>
        </w:rPr>
      </w:pPr>
      <w:r>
        <w:rPr>
          <w:rFonts w:hint="eastAsia"/>
          <w:lang w:val="en-US" w:eastAsia="zh-CN"/>
        </w:rPr>
        <w:t>（来源：厦门日报）</w:t>
      </w:r>
    </w:p>
    <w:p w14:paraId="719FF814">
      <w:pPr>
        <w:pStyle w:val="28"/>
        <w:bidi w:val="0"/>
        <w:jc w:val="left"/>
        <w:rPr>
          <w:rFonts w:hint="eastAsia"/>
          <w:lang w:val="en-US" w:eastAsia="zh-CN"/>
        </w:rPr>
      </w:pPr>
    </w:p>
    <w:p w14:paraId="7579EB1B">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叶瑞碧：推进托幼一体化发展</w:t>
      </w:r>
    </w:p>
    <w:p w14:paraId="3D8F5B62">
      <w:pPr>
        <w:pStyle w:val="28"/>
        <w:bidi w:val="0"/>
        <w:jc w:val="left"/>
        <w:rPr>
          <w:rFonts w:hint="eastAsia"/>
          <w:lang w:val="en-US" w:eastAsia="zh-CN"/>
        </w:rPr>
      </w:pPr>
      <w:r>
        <w:rPr>
          <w:rFonts w:hint="eastAsia"/>
          <w:lang w:val="en-US" w:eastAsia="zh-CN"/>
        </w:rPr>
        <w:t>叶瑞碧</w:t>
      </w:r>
    </w:p>
    <w:p w14:paraId="7FEC87C7">
      <w:pPr>
        <w:pStyle w:val="28"/>
        <w:bidi w:val="0"/>
        <w:jc w:val="left"/>
        <w:rPr>
          <w:rFonts w:hint="eastAsia"/>
          <w:lang w:val="en-US" w:eastAsia="zh-CN"/>
        </w:rPr>
      </w:pPr>
      <w:r>
        <w:rPr>
          <w:rFonts w:hint="eastAsia"/>
          <w:lang w:val="en-US" w:eastAsia="zh-CN"/>
        </w:rPr>
        <w:t>福建省政协委员</w:t>
      </w:r>
    </w:p>
    <w:p w14:paraId="34441C4C">
      <w:pPr>
        <w:pStyle w:val="28"/>
        <w:bidi w:val="0"/>
        <w:jc w:val="left"/>
        <w:rPr>
          <w:rFonts w:hint="eastAsia"/>
          <w:lang w:val="en-US" w:eastAsia="zh-CN"/>
        </w:rPr>
      </w:pPr>
      <w:r>
        <w:rPr>
          <w:rFonts w:hint="eastAsia"/>
          <w:lang w:val="en-US" w:eastAsia="zh-CN"/>
        </w:rPr>
        <w:t>厦门市思明区教师进修学校校长</w:t>
      </w:r>
    </w:p>
    <w:p w14:paraId="479E2A84">
      <w:pPr>
        <w:pStyle w:val="26"/>
        <w:bidi w:val="0"/>
        <w:rPr>
          <w:rFonts w:hint="eastAsia"/>
          <w:lang w:val="en-US" w:eastAsia="zh-CN"/>
        </w:rPr>
      </w:pPr>
      <w:r>
        <w:rPr>
          <w:rFonts w:hint="eastAsia"/>
          <w:lang w:val="en-US" w:eastAsia="zh-CN"/>
        </w:rPr>
        <w:t>随着经济社会发展，托育服务的社会需求越来越旺盛，与此同时，当前一些幼儿园面临生源下降问题。“如果能把这部分资源统筹利用起来，加快推进托幼一体化发展，有助于破解‘托不住、招不满’的社会难题。”省政协委员、厦门市思明区教师进修学校校长叶瑞碧表示，今年省两会上，她就此问题提交提案，为民生关切发声。</w:t>
      </w:r>
    </w:p>
    <w:p w14:paraId="7883A598">
      <w:pPr>
        <w:pStyle w:val="26"/>
        <w:bidi w:val="0"/>
        <w:rPr>
          <w:rFonts w:hint="eastAsia"/>
          <w:lang w:val="en-US" w:eastAsia="zh-CN"/>
        </w:rPr>
      </w:pPr>
      <w:r>
        <w:rPr>
          <w:rFonts w:hint="eastAsia"/>
          <w:lang w:val="en-US" w:eastAsia="zh-CN"/>
        </w:rPr>
        <w:t>叶瑞碧表示，多地调查显示，我国超三成的3岁以下婴幼儿家庭存在送托需求，但受服务、价格等诸多因素制约，多数家长不敢托。她在我省调研时，许多育龄产妇同样表达了“不敢生、生了不敢托”的想法。“发展托育公共服务是建设生育友好型社会的重要举措，建议我省统筹考虑托育困难与幼儿园生源下降问题，加大推进托幼一体化发展，完善我省学前教育公共服务体系。”她说。</w:t>
      </w:r>
    </w:p>
    <w:p w14:paraId="3B9AB87B">
      <w:pPr>
        <w:pStyle w:val="26"/>
        <w:bidi w:val="0"/>
        <w:rPr>
          <w:rFonts w:hint="eastAsia"/>
          <w:lang w:val="en-US" w:eastAsia="zh-CN"/>
        </w:rPr>
      </w:pPr>
      <w:r>
        <w:rPr>
          <w:rFonts w:hint="eastAsia"/>
          <w:lang w:val="en-US" w:eastAsia="zh-CN"/>
        </w:rPr>
        <w:t>叶瑞碧建议，我省各地市依据人口分布、流动趋势及未来生育预测，重新规划托幼机构布局，鼓励幼儿园开设托班，指导生源减少、资源过剩区域的幼儿园转型为托幼一体化机构，着重发展托育服务。为保障这项工作的开展，要尽快完善政策法规，明确托幼一体化机构的设立标准、审批流程、监管主体等；要增加对托幼一体化机构的财政补贴，涵盖场地建设、设备购置、人员薪资等方面，提高机构开办托育服务的积极性。</w:t>
      </w:r>
    </w:p>
    <w:p w14:paraId="596FD7FD">
      <w:pPr>
        <w:pStyle w:val="26"/>
        <w:bidi w:val="0"/>
        <w:rPr>
          <w:rFonts w:hint="eastAsia"/>
          <w:lang w:val="en-US" w:eastAsia="zh-CN"/>
        </w:rPr>
      </w:pPr>
      <w:r>
        <w:rPr>
          <w:rFonts w:hint="eastAsia"/>
          <w:lang w:val="en-US" w:eastAsia="zh-CN"/>
        </w:rPr>
        <w:t>在提升托育质量方面，叶瑞碧建议开展跨园、跨区师资交流，将幼儿园富余师资调配至托育岗位，对转岗教师进行0- 3岁婴幼儿保育、教育技能培训，提升其专业能力，以满足托育师资需求；结合0- 6岁儿童发展特点，研发一体化课程体系，确保课程的连贯性与科学性，促进儿童全面发展。同时，要加强部门协同，健全监管机制，共同解决托幼一体化发展中的问题，为群众提供优质、普惠、安全的托育服务，真正解民之忧。</w:t>
      </w:r>
    </w:p>
    <w:p w14:paraId="4F418C0E">
      <w:pPr>
        <w:pStyle w:val="28"/>
        <w:bidi w:val="0"/>
        <w:rPr>
          <w:rFonts w:hint="eastAsia"/>
          <w:lang w:val="en-US" w:eastAsia="zh-CN"/>
        </w:rPr>
      </w:pPr>
      <w:r>
        <w:rPr>
          <w:rFonts w:hint="eastAsia"/>
          <w:lang w:val="en-US" w:eastAsia="zh-CN"/>
        </w:rPr>
        <w:t>（来源：厦门日报）</w:t>
      </w:r>
    </w:p>
    <w:p w14:paraId="3D21C913">
      <w:pPr>
        <w:pStyle w:val="28"/>
        <w:bidi w:val="0"/>
        <w:jc w:val="left"/>
        <w:rPr>
          <w:rFonts w:hint="eastAsia"/>
          <w:lang w:val="en-US" w:eastAsia="zh-CN"/>
        </w:rPr>
      </w:pPr>
    </w:p>
    <w:p w14:paraId="14D5E447">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杨清金：多措并举  打造福建特色新质生产力</w:t>
      </w:r>
    </w:p>
    <w:p w14:paraId="51D75784">
      <w:pPr>
        <w:pStyle w:val="28"/>
        <w:bidi w:val="0"/>
        <w:jc w:val="left"/>
        <w:rPr>
          <w:rFonts w:hint="eastAsia"/>
          <w:lang w:val="en-US" w:eastAsia="zh-CN"/>
        </w:rPr>
      </w:pPr>
      <w:r>
        <w:rPr>
          <w:rFonts w:hint="eastAsia"/>
          <w:lang w:val="en-US" w:eastAsia="zh-CN"/>
        </w:rPr>
        <w:t>杨清金</w:t>
      </w:r>
    </w:p>
    <w:p w14:paraId="32F44660">
      <w:pPr>
        <w:pStyle w:val="28"/>
        <w:bidi w:val="0"/>
        <w:jc w:val="left"/>
        <w:rPr>
          <w:rFonts w:hint="eastAsia"/>
          <w:lang w:val="en-US" w:eastAsia="zh-CN"/>
        </w:rPr>
      </w:pPr>
      <w:r>
        <w:rPr>
          <w:rFonts w:hint="eastAsia"/>
          <w:lang w:val="en-US" w:eastAsia="zh-CN"/>
        </w:rPr>
        <w:t>福建省政协委员</w:t>
      </w:r>
    </w:p>
    <w:p w14:paraId="44553E51">
      <w:pPr>
        <w:pStyle w:val="28"/>
        <w:bidi w:val="0"/>
        <w:jc w:val="left"/>
        <w:rPr>
          <w:rFonts w:hint="eastAsia"/>
          <w:lang w:val="en-US" w:eastAsia="zh-CN"/>
        </w:rPr>
      </w:pPr>
      <w:r>
        <w:rPr>
          <w:rFonts w:hint="eastAsia"/>
          <w:lang w:val="en-US" w:eastAsia="zh-CN"/>
        </w:rPr>
        <w:t>中仑科技集团董事长</w:t>
      </w:r>
    </w:p>
    <w:p w14:paraId="2EBE5CB3">
      <w:pPr>
        <w:pStyle w:val="26"/>
        <w:bidi w:val="0"/>
        <w:rPr>
          <w:rFonts w:hint="eastAsia"/>
          <w:lang w:val="en-US" w:eastAsia="zh-CN"/>
        </w:rPr>
      </w:pPr>
    </w:p>
    <w:p w14:paraId="18112A02">
      <w:pPr>
        <w:pStyle w:val="26"/>
        <w:bidi w:val="0"/>
        <w:rPr>
          <w:rFonts w:hint="eastAsia"/>
          <w:lang w:val="en-US" w:eastAsia="zh-CN"/>
        </w:rPr>
      </w:pPr>
      <w:r>
        <w:rPr>
          <w:rFonts w:hint="eastAsia"/>
          <w:lang w:val="en-US" w:eastAsia="zh-CN"/>
        </w:rPr>
        <w:t>当前，我省正大力推动科技创新和产业创新深度融合，培育壮大战略性新兴产业，因地制宜发展新质生产力，塑造产业发展新优势。省政协委员、中仑科技集团董事长杨清金对此密切关注，在省两会上积极建言献策，建议从科技成果转化、数智化发展、高质量“出海”三个方面入手，助力打造福建特色新质生产力。</w:t>
      </w:r>
    </w:p>
    <w:p w14:paraId="355B51FF">
      <w:pPr>
        <w:pStyle w:val="26"/>
        <w:bidi w:val="0"/>
        <w:rPr>
          <w:rFonts w:hint="eastAsia"/>
          <w:lang w:val="en-US" w:eastAsia="zh-CN"/>
        </w:rPr>
      </w:pPr>
      <w:r>
        <w:rPr>
          <w:rFonts w:hint="eastAsia"/>
          <w:lang w:val="en-US" w:eastAsia="zh-CN"/>
        </w:rPr>
        <w:t>民营经济是推动福建高质量发展的重要主体，也是发展新质生产力的关键力量。杨清金指出，我省民营经济中传统制造业占比大，面临诸多挑战，尤其是科研创新和经济发展之间存在脱节现象，导致科技成果向现实生产力转化的效率不高。</w:t>
      </w:r>
    </w:p>
    <w:p w14:paraId="0AF82777">
      <w:pPr>
        <w:pStyle w:val="26"/>
        <w:bidi w:val="0"/>
        <w:rPr>
          <w:rFonts w:hint="eastAsia"/>
          <w:lang w:val="en-US" w:eastAsia="zh-CN"/>
        </w:rPr>
      </w:pPr>
      <w:r>
        <w:rPr>
          <w:rFonts w:hint="eastAsia"/>
          <w:lang w:val="en-US" w:eastAsia="zh-CN"/>
        </w:rPr>
        <w:t>他建议，应聚焦新材料、新能源、生物医药、高端装备等战略性新兴产业，部署创新链与产业链双向融合。一方面，要瞄准重点领域的“高精尖”技术，开展原创性、引领性的科技攻关，鼓励高壁垒、高附加值的产品创新；另一方面，要营造更为宽松的政策环境，鼓励龙头企业牵头建立创新联合体，整合产业链上下游及产学研资源，加快科技成果向现实生产力的转化。</w:t>
      </w:r>
    </w:p>
    <w:p w14:paraId="2BB80344">
      <w:pPr>
        <w:pStyle w:val="26"/>
        <w:bidi w:val="0"/>
        <w:rPr>
          <w:rFonts w:hint="eastAsia"/>
          <w:lang w:val="en-US" w:eastAsia="zh-CN"/>
        </w:rPr>
      </w:pPr>
      <w:r>
        <w:rPr>
          <w:rFonts w:hint="eastAsia"/>
          <w:lang w:val="en-US" w:eastAsia="zh-CN"/>
        </w:rPr>
        <w:t>制造业数智化转型是发展新质生产力的必然选择，作为制造业大省，福建制造业涵盖数百个细分领域，存在着数智化转型需求差异大、成功案例少等问题。杨清金建议，应根据不同行业和规模企业的实际需求，分类施策，精准推进制造业的数智化转型。同时，还应出台更有针对性的扶持政策，引导有条件的企业分阶段、分步骤实现全链条的数智化升级。</w:t>
      </w:r>
    </w:p>
    <w:p w14:paraId="646C5552">
      <w:pPr>
        <w:pStyle w:val="26"/>
        <w:bidi w:val="0"/>
        <w:rPr>
          <w:rFonts w:hint="eastAsia"/>
          <w:lang w:val="en-US" w:eastAsia="zh-CN"/>
        </w:rPr>
      </w:pPr>
      <w:r>
        <w:rPr>
          <w:rFonts w:hint="eastAsia"/>
          <w:lang w:val="en-US" w:eastAsia="zh-CN"/>
        </w:rPr>
        <w:t>近年来，制造业“出海”正成为经济发展的新动能，并从过去单纯的产品出口，发展为品牌出海、产能出海。然而，全球经济增长放缓、地缘政治局势紧张以及贸易保护主义抬头等因素，给制造业“出海”带来了诸多挑战。</w:t>
      </w:r>
    </w:p>
    <w:p w14:paraId="5C5953E4">
      <w:pPr>
        <w:pStyle w:val="26"/>
        <w:bidi w:val="0"/>
        <w:rPr>
          <w:rFonts w:hint="eastAsia"/>
          <w:lang w:val="en-US" w:eastAsia="zh-CN"/>
        </w:rPr>
      </w:pPr>
      <w:r>
        <w:rPr>
          <w:rFonts w:hint="eastAsia"/>
          <w:lang w:val="en-US" w:eastAsia="zh-CN"/>
        </w:rPr>
        <w:t>杨清金建议，政府有关部门应为“出海”企业提供全方位、专业化的指导和服务，包括供应链、金融、税收、保险、知识产权保护以及质量监管等方面。同时，要完善产业安全预警和审查制度，帮助企业提升风险管控能力，激发企业布局海外市场的积极性，推动更多民营制造企业实现高质量“出海”，为打造福建特色新质生产力提供重要助力。</w:t>
      </w:r>
    </w:p>
    <w:p w14:paraId="40388C50">
      <w:pPr>
        <w:pStyle w:val="28"/>
        <w:bidi w:val="0"/>
        <w:rPr>
          <w:rFonts w:hint="eastAsia"/>
          <w:lang w:val="en-US" w:eastAsia="zh-CN"/>
        </w:rPr>
      </w:pPr>
      <w:r>
        <w:rPr>
          <w:rFonts w:hint="eastAsia"/>
          <w:lang w:val="en-US" w:eastAsia="zh-CN"/>
        </w:rPr>
        <w:t>（来源：厦门日报）</w:t>
      </w:r>
    </w:p>
    <w:p w14:paraId="7813ECD1">
      <w:pPr>
        <w:pStyle w:val="26"/>
        <w:bidi w:val="0"/>
        <w:rPr>
          <w:rFonts w:hint="eastAsia"/>
          <w:lang w:val="en-US" w:eastAsia="zh-CN"/>
        </w:rPr>
      </w:pPr>
    </w:p>
    <w:p w14:paraId="159A1319">
      <w:pPr>
        <w:pStyle w:val="28"/>
        <w:bidi w:val="0"/>
        <w:jc w:val="left"/>
        <w:rPr>
          <w:rFonts w:hint="eastAsia"/>
          <w:lang w:val="en-US" w:eastAsia="zh-CN"/>
        </w:rPr>
      </w:pPr>
    </w:p>
    <w:p w14:paraId="1CBFC62D">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李亚华：大力发展“非遗+文旅”业态</w:t>
      </w:r>
    </w:p>
    <w:p w14:paraId="42E9B07B">
      <w:pPr>
        <w:pStyle w:val="28"/>
        <w:bidi w:val="0"/>
        <w:jc w:val="left"/>
        <w:rPr>
          <w:rFonts w:hint="eastAsia"/>
          <w:lang w:val="en-US" w:eastAsia="zh-CN"/>
        </w:rPr>
      </w:pPr>
      <w:r>
        <w:rPr>
          <w:rFonts w:hint="eastAsia"/>
          <w:lang w:val="en-US" w:eastAsia="zh-CN"/>
        </w:rPr>
        <w:t>李亚华</w:t>
      </w:r>
    </w:p>
    <w:p w14:paraId="012D7DAD">
      <w:pPr>
        <w:pStyle w:val="28"/>
        <w:bidi w:val="0"/>
        <w:jc w:val="left"/>
        <w:rPr>
          <w:rFonts w:hint="eastAsia"/>
          <w:lang w:val="en-US" w:eastAsia="zh-CN"/>
        </w:rPr>
      </w:pPr>
      <w:r>
        <w:rPr>
          <w:rFonts w:hint="eastAsia"/>
          <w:lang w:val="en-US" w:eastAsia="zh-CN"/>
        </w:rPr>
        <w:t>福建省政协委员</w:t>
      </w:r>
    </w:p>
    <w:p w14:paraId="7D91C35C">
      <w:pPr>
        <w:pStyle w:val="28"/>
        <w:bidi w:val="0"/>
        <w:jc w:val="left"/>
        <w:rPr>
          <w:rFonts w:hint="eastAsia"/>
          <w:lang w:val="en-US" w:eastAsia="zh-CN"/>
        </w:rPr>
      </w:pPr>
      <w:r>
        <w:rPr>
          <w:rFonts w:hint="eastAsia"/>
          <w:lang w:val="en-US" w:eastAsia="zh-CN"/>
        </w:rPr>
        <w:t>厦门惠和股份董事长</w:t>
      </w:r>
    </w:p>
    <w:p w14:paraId="3D2107C1">
      <w:pPr>
        <w:pStyle w:val="26"/>
        <w:bidi w:val="0"/>
        <w:rPr>
          <w:rFonts w:hint="eastAsia"/>
          <w:lang w:val="en-US" w:eastAsia="zh-CN"/>
        </w:rPr>
      </w:pPr>
      <w:r>
        <w:rPr>
          <w:rFonts w:hint="eastAsia"/>
          <w:lang w:val="en-US" w:eastAsia="zh-CN"/>
        </w:rPr>
        <w:t>“福建是非遗资源大省，有世界级、国家级、省级非遗项目800多个，个个富有传统韵味。把这些丰富多彩的非遗文化资源充分用好，有助于推动全省文旅经济繁荣发展。”省政协委员、厦门惠和股份董事长李亚华是国家级非遗项目惠和影雕代表性传承人，长期关注推动非遗创造性转化和创新性发展。她表示，福建的非遗项目涵盖音乐、戏剧、技艺、美食、曲艺、医药、体育、文学、民俗等众多类型，且展演形式多样、民众参与广泛，在“国风国潮”日渐流行的大趋势下，推动非遗项目与文旅经济深度融合，打造新业态场景，福建有基础也有优势，这将大大提升福建文旅品质。</w:t>
      </w:r>
    </w:p>
    <w:p w14:paraId="1BD423C0">
      <w:pPr>
        <w:pStyle w:val="26"/>
        <w:bidi w:val="0"/>
        <w:rPr>
          <w:rFonts w:hint="eastAsia"/>
          <w:lang w:val="en-US" w:eastAsia="zh-CN"/>
        </w:rPr>
      </w:pPr>
      <w:r>
        <w:rPr>
          <w:rFonts w:hint="eastAsia"/>
          <w:lang w:val="en-US" w:eastAsia="zh-CN"/>
        </w:rPr>
        <w:t>　　为此，李亚华建议，大力发展“非遗+文旅”业态，厘清各地市非遗文化创造性转化和创新性发展的“特色元素”，研究提出《福建省非遗高质量发展之品牌行动方案》，打造出若干个具有较大文旅品牌影响力、符合4A旅游景区标准的非遗主题馆，创设展示展演、沉浸体验、研学交流、产品销售等多元空间，促进非遗活态传承。</w:t>
      </w:r>
    </w:p>
    <w:p w14:paraId="22D22534">
      <w:pPr>
        <w:pStyle w:val="26"/>
        <w:bidi w:val="0"/>
        <w:rPr>
          <w:rFonts w:hint="eastAsia"/>
          <w:lang w:val="en-US" w:eastAsia="zh-CN"/>
        </w:rPr>
      </w:pPr>
      <w:r>
        <w:rPr>
          <w:rFonts w:hint="eastAsia"/>
          <w:lang w:val="en-US" w:eastAsia="zh-CN"/>
        </w:rPr>
        <w:t>同时，持续优化营商环境，支持非遗保护单位、传承人跳出“非遗文旅=研学旅行”的业态，联合文旅企业举办更多非遗主题文化与节庆活动；支持我省旅游企业推出更多的沉浸式非遗文化旅游线路，充分发挥非遗项目在文化、自然、历史和美食上的体验优势，赋能我省文化旅游产品的创新；支持我省非遗头部企业启动场馆焕新升级工作，拓建旅游接待设施，提高企业与项目的游客接待量和行业影响力；积极探索两岸非遗传承人和非遗元素融入我省旅游集散中心、历史文化街区和旅游景区之中的新渠道，促进闽台传统非遗文化融合发展。</w:t>
      </w:r>
    </w:p>
    <w:p w14:paraId="6C7C039D">
      <w:pPr>
        <w:pStyle w:val="26"/>
        <w:bidi w:val="0"/>
        <w:rPr>
          <w:rFonts w:hint="eastAsia"/>
          <w:lang w:val="en-US" w:eastAsia="zh-CN"/>
        </w:rPr>
      </w:pPr>
      <w:r>
        <w:rPr>
          <w:rFonts w:hint="eastAsia"/>
          <w:lang w:val="en-US" w:eastAsia="zh-CN"/>
        </w:rPr>
        <w:t>去年9月，省文旅厅遴选一批当地民众认可、地域特色鲜明的非遗代表性项目，确定了第一批省级非遗与旅游融合发展推荐目录，包括84项非遗代表性项目，涵盖民间文学、传统戏剧、传统技艺等类别。李亚华表示，要充分发挥这些融合发展推荐点的带动作用，聚合资源推动这些推荐点与旅游市场的深度充分融合，出台更为有力的政策鼓励相关企业、单位主动投入文创产品的研发与推广，进而协力打造出新的“拳头产品”。</w:t>
      </w:r>
    </w:p>
    <w:p w14:paraId="086F13D4">
      <w:pPr>
        <w:pStyle w:val="28"/>
        <w:bidi w:val="0"/>
        <w:rPr>
          <w:rFonts w:hint="eastAsia"/>
          <w:lang w:val="en-US" w:eastAsia="zh-CN"/>
        </w:rPr>
      </w:pPr>
      <w:r>
        <w:rPr>
          <w:rFonts w:hint="eastAsia"/>
          <w:lang w:val="en-US" w:eastAsia="zh-CN"/>
        </w:rPr>
        <w:t>（来源：厦门日报）</w:t>
      </w:r>
    </w:p>
    <w:p w14:paraId="25245ECC">
      <w:pPr>
        <w:pStyle w:val="2"/>
        <w:spacing w:afterLines="0" w:line="360" w:lineRule="auto"/>
        <w:rPr>
          <w:rFonts w:hint="eastAsia"/>
          <w:b/>
          <w:highlight w:val="yellow"/>
        </w:rPr>
      </w:pPr>
    </w:p>
    <w:p w14:paraId="415FA18E">
      <w:pPr>
        <w:pStyle w:val="2"/>
        <w:spacing w:afterLines="0" w:line="360" w:lineRule="auto"/>
        <w:rPr>
          <w:b/>
          <w:highlight w:val="yellow"/>
          <w:lang w:val="zh-CN"/>
        </w:rPr>
      </w:pPr>
      <w:r>
        <w:rPr>
          <w:rFonts w:hint="eastAsia"/>
          <w:b/>
          <w:highlight w:val="yellow"/>
        </w:rPr>
        <w:t>本期关注</w:t>
      </w:r>
    </w:p>
    <w:p w14:paraId="10745245">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市政协工商联界别委员热议习近平总书记</w:t>
      </w:r>
    </w:p>
    <w:p w14:paraId="60C6F105">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在民营企业座谈会上的重要讲话</w:t>
      </w:r>
    </w:p>
    <w:p w14:paraId="3912D408">
      <w:pPr>
        <w:pStyle w:val="26"/>
        <w:bidi w:val="0"/>
        <w:rPr>
          <w:rFonts w:hint="eastAsia"/>
          <w:lang w:val="en-US" w:eastAsia="zh-CN"/>
        </w:rPr>
      </w:pPr>
      <w:r>
        <w:rPr>
          <w:rFonts w:hint="eastAsia"/>
          <w:lang w:val="en-US" w:eastAsia="zh-CN"/>
        </w:rPr>
        <w:t>2月17日，中共中央总书记、国家主席、中央军委主席习近平在京出席民营企业座谈会并发表重要讲话。市政协工商联界别活动小组第一时间组织委员们学习领会习近平总书记重要讲话精神。大家纷纷表示将坚定不移听党话、跟党走，强化使命担当，积极建言献策，为厦门努力率先实现社会主义现代化贡献应有力量。</w:t>
      </w:r>
    </w:p>
    <w:p w14:paraId="7287FDF7">
      <w:pPr>
        <w:pStyle w:val="26"/>
        <w:bidi w:val="0"/>
        <w:rPr>
          <w:rFonts w:hint="eastAsia"/>
          <w:lang w:val="en-US" w:eastAsia="zh-CN"/>
        </w:rPr>
      </w:pPr>
    </w:p>
    <w:p w14:paraId="31B71FB3">
      <w:pPr>
        <w:pStyle w:val="26"/>
        <w:bidi w:val="0"/>
        <w:rPr>
          <w:rFonts w:hint="eastAsia"/>
          <w:b/>
          <w:bCs/>
          <w:lang w:val="en-US" w:eastAsia="zh-CN"/>
        </w:rPr>
      </w:pPr>
      <w:r>
        <w:rPr>
          <w:rFonts w:hint="eastAsia"/>
          <w:b/>
          <w:bCs/>
          <w:lang w:val="en-US" w:eastAsia="zh-CN"/>
        </w:rPr>
        <w:t>刘震（市政协委员、厦门燕之屋生物工程股份有限公司董事）</w:t>
      </w:r>
    </w:p>
    <w:p w14:paraId="7287DBF9">
      <w:pPr>
        <w:pStyle w:val="26"/>
        <w:bidi w:val="0"/>
        <w:rPr>
          <w:rFonts w:hint="eastAsia"/>
          <w:lang w:val="en-US" w:eastAsia="zh-CN"/>
        </w:rPr>
      </w:pPr>
      <w:r>
        <w:rPr>
          <w:rFonts w:hint="eastAsia"/>
          <w:lang w:val="en-US" w:eastAsia="zh-CN"/>
        </w:rPr>
        <w:t>在企业经营实践中，我们深刻体会到发展的不易。过去几年，市场竞争激烈，上游物料价格波动大，融资成本居高不下；资金周转压力增大，部分项目推进受阻。习近平总书记重要讲话为我们指明了方向，一系列政策举措让我们看到了希望，对于企业今后发展充满信心。未来，我们将一方面加大创新投入，不断提升研发投入占比，引进高端人才，打造核心技术；另一方面，积极响应国家政策，拓展市场空间，把握“一带一路”贸易投资新机遇。</w:t>
      </w:r>
    </w:p>
    <w:p w14:paraId="371DF3A2">
      <w:pPr>
        <w:pStyle w:val="26"/>
        <w:bidi w:val="0"/>
        <w:rPr>
          <w:rFonts w:hint="eastAsia"/>
          <w:lang w:val="en-US" w:eastAsia="zh-CN"/>
        </w:rPr>
      </w:pPr>
    </w:p>
    <w:p w14:paraId="60518408">
      <w:pPr>
        <w:pStyle w:val="26"/>
        <w:bidi w:val="0"/>
        <w:rPr>
          <w:rFonts w:hint="eastAsia"/>
          <w:b/>
          <w:bCs/>
          <w:lang w:val="en-US" w:eastAsia="zh-CN"/>
        </w:rPr>
      </w:pPr>
      <w:r>
        <w:rPr>
          <w:rFonts w:hint="eastAsia"/>
          <w:b/>
          <w:bCs/>
          <w:lang w:val="en-US" w:eastAsia="zh-CN"/>
        </w:rPr>
        <w:t>李莉（市政协常委、厦门融坤集团有限公司总经理）</w:t>
      </w:r>
    </w:p>
    <w:p w14:paraId="274FDBBD">
      <w:pPr>
        <w:pStyle w:val="26"/>
        <w:bidi w:val="0"/>
        <w:rPr>
          <w:rFonts w:hint="eastAsia"/>
          <w:lang w:val="en-US" w:eastAsia="zh-CN"/>
        </w:rPr>
      </w:pPr>
      <w:r>
        <w:rPr>
          <w:rFonts w:hint="eastAsia"/>
          <w:lang w:val="en-US" w:eastAsia="zh-CN"/>
        </w:rPr>
        <w:t>习近平总书记对民营经济的深切期望，正是我们深耕区域经济、服务民生消费的坚定信念。未来，我们将依托厦门建设国际消费中心城市的机遇，专注精细化运营。同时，培育本土品牌孵化平台，为新消费品牌提供成长的土壤。正如习近平总书记所强调的要实实在在做好主业，我们坚信，深耕区域市场、强化创新驱动，必定能在高质量发展中稳步前进。</w:t>
      </w:r>
    </w:p>
    <w:p w14:paraId="2F7CA120">
      <w:pPr>
        <w:pStyle w:val="26"/>
        <w:bidi w:val="0"/>
        <w:rPr>
          <w:rFonts w:hint="eastAsia"/>
          <w:lang w:val="en-US" w:eastAsia="zh-CN"/>
        </w:rPr>
      </w:pPr>
    </w:p>
    <w:p w14:paraId="6C65245F">
      <w:pPr>
        <w:pStyle w:val="26"/>
        <w:bidi w:val="0"/>
        <w:rPr>
          <w:rFonts w:hint="eastAsia"/>
          <w:b/>
          <w:bCs/>
          <w:lang w:val="en-US" w:eastAsia="zh-CN"/>
        </w:rPr>
      </w:pPr>
      <w:r>
        <w:rPr>
          <w:rFonts w:hint="eastAsia"/>
          <w:b/>
          <w:bCs/>
          <w:lang w:val="en-US" w:eastAsia="zh-CN"/>
        </w:rPr>
        <w:t>李辉煌（市政协委员、厦门市中鹭达进出口有限公司董事长）</w:t>
      </w:r>
    </w:p>
    <w:p w14:paraId="3B3593BC">
      <w:pPr>
        <w:pStyle w:val="26"/>
        <w:bidi w:val="0"/>
        <w:rPr>
          <w:rFonts w:hint="eastAsia"/>
          <w:lang w:val="en-US" w:eastAsia="zh-CN"/>
        </w:rPr>
      </w:pPr>
      <w:r>
        <w:rPr>
          <w:rFonts w:hint="eastAsia"/>
          <w:lang w:val="en-US" w:eastAsia="zh-CN"/>
        </w:rPr>
        <w:t>此次座谈会鼓舞人心、振奋士气，让我们感受到党和国家对民营经济的重视、对民营企业家的关怀，更加坚定了干实业、谋发展、促进步的信心与决心。作为一名在厦门创业发展近三十年的民营企业家，我感到责任重大，将带领企业认真学习领会、坚决贯彻落实习近平总书记重要讲话精神，专心致志做好企业经营管理，苦练内功，把握机遇，增强实力，在不断奋斗中实现个人价值、企业价值和社会价值。</w:t>
      </w:r>
    </w:p>
    <w:p w14:paraId="00BB83C7">
      <w:pPr>
        <w:pStyle w:val="26"/>
        <w:bidi w:val="0"/>
        <w:rPr>
          <w:rFonts w:hint="eastAsia"/>
          <w:lang w:val="en-US" w:eastAsia="zh-CN"/>
        </w:rPr>
      </w:pPr>
    </w:p>
    <w:p w14:paraId="5408DBE5">
      <w:pPr>
        <w:pStyle w:val="26"/>
        <w:bidi w:val="0"/>
        <w:rPr>
          <w:rFonts w:hint="eastAsia"/>
          <w:b/>
          <w:bCs/>
          <w:lang w:val="en-US" w:eastAsia="zh-CN"/>
        </w:rPr>
      </w:pPr>
      <w:r>
        <w:rPr>
          <w:rFonts w:hint="eastAsia"/>
          <w:b/>
          <w:bCs/>
          <w:lang w:val="en-US" w:eastAsia="zh-CN"/>
        </w:rPr>
        <w:t>汪卫东（市政协委员、厦门伟屹投资集团有限公司董事长）</w:t>
      </w:r>
    </w:p>
    <w:p w14:paraId="09C976D0">
      <w:pPr>
        <w:pStyle w:val="26"/>
        <w:bidi w:val="0"/>
        <w:rPr>
          <w:rFonts w:hint="eastAsia"/>
          <w:lang w:val="en-US" w:eastAsia="zh-CN"/>
        </w:rPr>
      </w:pPr>
      <w:r>
        <w:rPr>
          <w:rFonts w:hint="eastAsia"/>
          <w:lang w:val="en-US" w:eastAsia="zh-CN"/>
        </w:rPr>
        <w:t>习近平总书记重要讲话如春风化雨，滋润着广大民营企业家的心田。我对企业经营实践和未来发展有了更深层次的思考，将积极响应国家战略，聚焦智能化技术创新。一方面坚定不移走高质量发展之路，完善企业治理，提升智能化项目管理水平；另一方面要抓住科技变革机遇，加大在人工智能、大数据等领域的创新投入，推动企业数字化转型，不断提升核心竞争力，为推进中国式现代化贡献民企力量。</w:t>
      </w:r>
    </w:p>
    <w:p w14:paraId="5BB33873">
      <w:pPr>
        <w:pStyle w:val="26"/>
        <w:bidi w:val="0"/>
        <w:rPr>
          <w:rFonts w:hint="eastAsia"/>
          <w:lang w:val="en-US" w:eastAsia="zh-CN"/>
        </w:rPr>
      </w:pPr>
    </w:p>
    <w:p w14:paraId="66513E61">
      <w:pPr>
        <w:pStyle w:val="26"/>
        <w:bidi w:val="0"/>
        <w:rPr>
          <w:rFonts w:hint="eastAsia"/>
          <w:b/>
          <w:bCs/>
          <w:lang w:val="en-US" w:eastAsia="zh-CN"/>
        </w:rPr>
      </w:pPr>
      <w:r>
        <w:rPr>
          <w:rFonts w:hint="eastAsia"/>
          <w:b/>
          <w:bCs/>
          <w:lang w:val="en-US" w:eastAsia="zh-CN"/>
        </w:rPr>
        <w:t>陈岱桦（市政协委员、厦门建霖健康家居股份有限公司董事长兼总裁）</w:t>
      </w:r>
    </w:p>
    <w:p w14:paraId="5E820259">
      <w:pPr>
        <w:pStyle w:val="26"/>
        <w:bidi w:val="0"/>
        <w:rPr>
          <w:rFonts w:hint="eastAsia"/>
          <w:lang w:val="en-US" w:eastAsia="zh-CN"/>
        </w:rPr>
      </w:pPr>
      <w:r>
        <w:rPr>
          <w:rFonts w:hint="eastAsia"/>
          <w:lang w:val="en-US" w:eastAsia="zh-CN"/>
        </w:rPr>
        <w:t>今年是建霖家居深耕祖国大陆发展的第36年。我们始终坚守健康家居产业，秉持技术驱动发展的经营战略，成为了内外贸一体化的领跑企业。这一成就来自祖国大陆这片沃土的培育与支持，离不开客户与供货商的长期信赖和精诚合作，更离不开我们团队的创新发展与拼搏努力。未来，我们将持续加大新质生产力与智能创新的投入，不断推动企业国际化发展，为推动中国式现代化作出新的更大贡献。</w:t>
      </w:r>
    </w:p>
    <w:p w14:paraId="24CF2BF8">
      <w:pPr>
        <w:pStyle w:val="26"/>
        <w:bidi w:val="0"/>
        <w:rPr>
          <w:rFonts w:hint="eastAsia"/>
          <w:lang w:val="en-US" w:eastAsia="zh-CN"/>
        </w:rPr>
      </w:pPr>
    </w:p>
    <w:p w14:paraId="2153B3ED">
      <w:pPr>
        <w:pStyle w:val="26"/>
        <w:bidi w:val="0"/>
        <w:rPr>
          <w:rFonts w:hint="eastAsia"/>
          <w:b/>
          <w:bCs/>
          <w:lang w:val="en-US" w:eastAsia="zh-CN"/>
        </w:rPr>
      </w:pPr>
      <w:r>
        <w:rPr>
          <w:rFonts w:hint="eastAsia"/>
          <w:b/>
          <w:bCs/>
          <w:lang w:val="en-US" w:eastAsia="zh-CN"/>
        </w:rPr>
        <w:t>林金钟（市政协委员、厦门贝施特贸易有限公司董事长）</w:t>
      </w:r>
    </w:p>
    <w:p w14:paraId="1615D755">
      <w:pPr>
        <w:pStyle w:val="26"/>
        <w:bidi w:val="0"/>
        <w:rPr>
          <w:rFonts w:hint="eastAsia"/>
          <w:lang w:val="en-US" w:eastAsia="zh-CN"/>
        </w:rPr>
      </w:pPr>
      <w:r>
        <w:rPr>
          <w:rFonts w:hint="eastAsia"/>
          <w:lang w:val="en-US" w:eastAsia="zh-CN"/>
        </w:rPr>
        <w:t>在企业经营实践中，我们面临着国际市场竞争激烈、贸易政策多变等挑战。但习近平总书记重要讲话让我们坚信，只要坚持诚信守法经营，积极履行社会责任，不断提升产品质量和服务水平，就一定能在市场中站稳脚跟、赢得发展。当前，我们正处于产业转型升级的关键时期，既是挑战也是机遇。我们将坚定不移走高质量发展之路，持续加大在石材加工技术创新、产品设计研发上的投入，为推动石材贸易行业发展、促进中外经贸交流贡献力量。</w:t>
      </w:r>
    </w:p>
    <w:p w14:paraId="57FCBF51">
      <w:pPr>
        <w:pStyle w:val="26"/>
        <w:bidi w:val="0"/>
        <w:rPr>
          <w:rFonts w:hint="eastAsia"/>
          <w:lang w:val="en-US" w:eastAsia="zh-CN"/>
        </w:rPr>
      </w:pPr>
    </w:p>
    <w:p w14:paraId="580D92FD">
      <w:pPr>
        <w:pStyle w:val="26"/>
        <w:bidi w:val="0"/>
        <w:rPr>
          <w:rFonts w:hint="eastAsia"/>
          <w:b/>
          <w:bCs/>
          <w:lang w:val="en-US" w:eastAsia="zh-CN"/>
        </w:rPr>
      </w:pPr>
      <w:r>
        <w:rPr>
          <w:rFonts w:hint="eastAsia"/>
          <w:b/>
          <w:bCs/>
          <w:lang w:val="en-US" w:eastAsia="zh-CN"/>
        </w:rPr>
        <w:t>钟剑锋（市政协委员、厦门宏益华集团有限公司总裁）</w:t>
      </w:r>
    </w:p>
    <w:p w14:paraId="30784DB2">
      <w:pPr>
        <w:pStyle w:val="26"/>
        <w:bidi w:val="0"/>
        <w:rPr>
          <w:rFonts w:hint="eastAsia"/>
          <w:lang w:val="en-US" w:eastAsia="zh-CN"/>
        </w:rPr>
      </w:pPr>
      <w:r>
        <w:rPr>
          <w:rFonts w:hint="eastAsia"/>
          <w:lang w:val="en-US" w:eastAsia="zh-CN"/>
        </w:rPr>
        <w:t>作为沐浴改革春风成长起来的年轻一代企业家，我们在党的呵护指引下，紧跟时代步伐，锐意创新发展。我深切感受着，党和国家始终是民营企业最坚实的后盾。在企业经营实践中，我们虽面临诸多挑战，如市场竞争加剧、融资难等，但习近平总书记重要讲话让我们坚信，这些困难是暂时的，是发展中的问题。当下，我们要坚定不移走高质量发展之路，加强自主创新，转变发展方式，加大研发投入，为经济社会发展贡献力量，在中国式现代化建设中展现青年企业家的时代担当。</w:t>
      </w:r>
    </w:p>
    <w:p w14:paraId="4C9C7167">
      <w:pPr>
        <w:pStyle w:val="26"/>
        <w:bidi w:val="0"/>
        <w:rPr>
          <w:rFonts w:hint="eastAsia"/>
          <w:lang w:val="en-US" w:eastAsia="zh-CN"/>
        </w:rPr>
      </w:pPr>
    </w:p>
    <w:p w14:paraId="7EBDFEFD">
      <w:pPr>
        <w:pStyle w:val="26"/>
        <w:bidi w:val="0"/>
        <w:rPr>
          <w:rFonts w:hint="eastAsia"/>
          <w:b/>
          <w:bCs/>
          <w:lang w:val="en-US" w:eastAsia="zh-CN"/>
        </w:rPr>
      </w:pPr>
      <w:r>
        <w:rPr>
          <w:rFonts w:hint="eastAsia"/>
          <w:b/>
          <w:bCs/>
          <w:lang w:val="en-US" w:eastAsia="zh-CN"/>
        </w:rPr>
        <w:t>姜嵘（市政协委员、厦门市嘉晟对外贸易有限公司副总裁）</w:t>
      </w:r>
    </w:p>
    <w:p w14:paraId="31FB8CCA">
      <w:pPr>
        <w:pStyle w:val="26"/>
        <w:bidi w:val="0"/>
        <w:rPr>
          <w:rFonts w:hint="eastAsia"/>
          <w:lang w:val="en-US" w:eastAsia="zh-CN"/>
        </w:rPr>
      </w:pPr>
      <w:r>
        <w:rPr>
          <w:rFonts w:hint="eastAsia"/>
          <w:lang w:val="en-US" w:eastAsia="zh-CN"/>
        </w:rPr>
        <w:t>习近平总书记重要讲话为民营经济发展注入强大信心，也为外贸供应链行业指明了方向。结合在外贸供应链领域28年的经营实践，我深刻体会到，面对全球经济复苏乏力、产业链重构加速的挑战，唯有以创新驱动、开放合作为核心，才能在变局中开新局。未来，我们将继续专注主业，加大创新投入，利用互联网、大数据、人工智能等现代数字化技术，积极把握“一带一路”倡议带来的时代机遇。</w:t>
      </w:r>
    </w:p>
    <w:p w14:paraId="0009B8F8">
      <w:pPr>
        <w:pStyle w:val="26"/>
        <w:bidi w:val="0"/>
        <w:rPr>
          <w:rFonts w:hint="eastAsia"/>
          <w:lang w:val="en-US" w:eastAsia="zh-CN"/>
        </w:rPr>
      </w:pPr>
    </w:p>
    <w:p w14:paraId="352E22CC">
      <w:pPr>
        <w:pStyle w:val="26"/>
        <w:bidi w:val="0"/>
        <w:rPr>
          <w:rFonts w:hint="eastAsia"/>
          <w:b/>
          <w:bCs/>
          <w:lang w:val="en-US" w:eastAsia="zh-CN"/>
        </w:rPr>
      </w:pPr>
      <w:r>
        <w:rPr>
          <w:rFonts w:hint="eastAsia"/>
          <w:b/>
          <w:bCs/>
          <w:lang w:val="en-US" w:eastAsia="zh-CN"/>
        </w:rPr>
        <w:t>缪国栋（市政协常委、厦门狄耐克智能科技股份有限公司董事长兼总经理）</w:t>
      </w:r>
    </w:p>
    <w:p w14:paraId="1A49B624">
      <w:pPr>
        <w:pStyle w:val="26"/>
        <w:bidi w:val="0"/>
        <w:rPr>
          <w:rFonts w:hint="eastAsia"/>
          <w:lang w:val="en-US" w:eastAsia="zh-CN"/>
        </w:rPr>
      </w:pPr>
      <w:r>
        <w:rPr>
          <w:rFonts w:hint="eastAsia"/>
          <w:lang w:val="en-US" w:eastAsia="zh-CN"/>
        </w:rPr>
        <w:t>我们企业近年来始终聚焦智慧社区、智慧医院与健康科技三大核心领域，将提升发展新质生产力作为公司战略转型升级的关键方向。通过积极拥抱鸿蒙生态，融合人工智能、脑电波交互等前沿技术，不仅推动了产业升级，还培育了新兴产业。实践证明，紧跟国家战略需求，才能在新时代实现企业的可持续发展。未来将继续秉持科技引领、创新驱动的理念，坚定迎接挑战，努力做强做优做大，为国家经济社会发展贡献智慧与力量。</w:t>
      </w:r>
    </w:p>
    <w:p w14:paraId="1A6F4B79">
      <w:pPr>
        <w:pStyle w:val="26"/>
        <w:bidi w:val="0"/>
        <w:rPr>
          <w:rFonts w:hint="eastAsia"/>
          <w:lang w:val="en-US" w:eastAsia="zh-CN"/>
        </w:rPr>
      </w:pPr>
    </w:p>
    <w:p w14:paraId="7868792D">
      <w:pPr>
        <w:pStyle w:val="26"/>
        <w:bidi w:val="0"/>
        <w:rPr>
          <w:rFonts w:hint="eastAsia"/>
          <w:b/>
          <w:bCs/>
          <w:lang w:val="en-US" w:eastAsia="zh-CN"/>
        </w:rPr>
      </w:pPr>
      <w:r>
        <w:rPr>
          <w:rFonts w:hint="eastAsia"/>
          <w:b/>
          <w:bCs/>
          <w:lang w:val="en-US" w:eastAsia="zh-CN"/>
        </w:rPr>
        <w:t>黄献荣（市政协委员、厦门加捷财税事务所集团董事长）</w:t>
      </w:r>
    </w:p>
    <w:p w14:paraId="50F9A6A1">
      <w:pPr>
        <w:pStyle w:val="26"/>
        <w:bidi w:val="0"/>
        <w:rPr>
          <w:rFonts w:hint="eastAsia"/>
          <w:lang w:val="en-US" w:eastAsia="zh-CN"/>
        </w:rPr>
      </w:pPr>
      <w:r>
        <w:rPr>
          <w:rFonts w:hint="eastAsia"/>
          <w:lang w:val="en-US" w:eastAsia="zh-CN"/>
        </w:rPr>
        <w:t>习近平总书记重要讲话为我们企业未来发展指明了方向。长期以来，我们在帮助企业解决工商注册、财税难题过程中，深刻感受着政策扶持与公平竞争环境的重要性。习近平总书记强调破除市场竞争障碍、解决融资难题等，让我们吃下 “定心丸”。展望未来，我们将以习近平总书记重要讲话精神为指引，坚守主业，不断提升服务质量，同时也会牢记履行社会责任，为构建和谐劳动关系、助力公益事业贡献力量。</w:t>
      </w:r>
    </w:p>
    <w:p w14:paraId="790BE057">
      <w:pPr>
        <w:pStyle w:val="26"/>
        <w:bidi w:val="0"/>
        <w:rPr>
          <w:rFonts w:hint="eastAsia"/>
          <w:lang w:val="en-US" w:eastAsia="zh-CN"/>
        </w:rPr>
      </w:pPr>
    </w:p>
    <w:p w14:paraId="7456F508">
      <w:pPr>
        <w:pStyle w:val="26"/>
        <w:bidi w:val="0"/>
        <w:rPr>
          <w:rFonts w:hint="eastAsia"/>
          <w:b/>
          <w:bCs/>
          <w:lang w:val="en-US" w:eastAsia="zh-CN"/>
        </w:rPr>
      </w:pPr>
      <w:r>
        <w:rPr>
          <w:rFonts w:hint="eastAsia"/>
          <w:b/>
          <w:bCs/>
          <w:lang w:val="en-US" w:eastAsia="zh-CN"/>
        </w:rPr>
        <w:t>曾建华（市政协委员、厦门伟合科技有限公司董事长）</w:t>
      </w:r>
    </w:p>
    <w:p w14:paraId="094F9581">
      <w:pPr>
        <w:pStyle w:val="26"/>
        <w:bidi w:val="0"/>
        <w:rPr>
          <w:rFonts w:hint="eastAsia"/>
          <w:lang w:val="en-US" w:eastAsia="zh-CN"/>
        </w:rPr>
      </w:pPr>
      <w:r>
        <w:rPr>
          <w:rFonts w:hint="eastAsia"/>
          <w:lang w:val="en-US" w:eastAsia="zh-CN"/>
        </w:rPr>
        <w:t>座谈会为我们民营企业发展指明了前进方向，也为我们商会组织建设提供了根本遵循。未来，我们将积极响应习近平总书记的号召，保持“爱拼会赢”的精气神，勇立潮头、勇毅前行，引导广大会员企业坚定理想信念，专心致志做强做优做大企业；同时，充分发挥商会平台优势，促进会员企业之间的交流合作，共享发展机遇，共同应对挑战，不断提升技术水平和创新能力，为中国特色社会主义事业和中国式现代化进程贡献漳商力量。</w:t>
      </w:r>
    </w:p>
    <w:p w14:paraId="11188D3B">
      <w:pPr>
        <w:pStyle w:val="28"/>
        <w:bidi w:val="0"/>
        <w:rPr>
          <w:rFonts w:hint="eastAsia"/>
          <w:lang w:val="en-US" w:eastAsia="zh-CN"/>
        </w:rPr>
      </w:pPr>
      <w:r>
        <w:rPr>
          <w:rFonts w:hint="eastAsia"/>
          <w:lang w:val="en-US" w:eastAsia="zh-CN"/>
        </w:rPr>
        <w:t>【来源：厦门市工商联（总商会），按娃氏笔画排序】</w:t>
      </w:r>
    </w:p>
    <w:p w14:paraId="282A7E1F">
      <w:pPr>
        <w:pStyle w:val="28"/>
        <w:bidi w:val="0"/>
        <w:jc w:val="left"/>
        <w:rPr>
          <w:rFonts w:hint="eastAsia"/>
          <w:lang w:val="en-US" w:eastAsia="zh-CN"/>
        </w:rPr>
      </w:pPr>
    </w:p>
    <w:p w14:paraId="35CE63F1">
      <w:pPr>
        <w:pStyle w:val="28"/>
        <w:bidi w:val="0"/>
        <w:jc w:val="both"/>
        <w:rPr>
          <w:rFonts w:hint="eastAsia" w:eastAsia="宋体" w:asciiTheme="minorHAnsi" w:hAnsiTheme="minorHAnsi" w:cstheme="minorBidi"/>
          <w:b/>
          <w:color w:val="000000" w:themeColor="text1"/>
          <w:kern w:val="2"/>
          <w:sz w:val="32"/>
          <w:szCs w:val="22"/>
          <w:lang w:val="en-US" w:eastAsia="zh-CN" w:bidi="ar-SA"/>
        </w:rPr>
      </w:pPr>
    </w:p>
    <w:p w14:paraId="3FDE4900">
      <w:pPr>
        <w:pStyle w:val="2"/>
        <w:spacing w:afterLines="0" w:line="360" w:lineRule="auto"/>
        <w:rPr>
          <w:b/>
          <w:highlight w:val="yellow"/>
          <w:lang w:val="zh-CN"/>
        </w:rPr>
      </w:pPr>
      <w:r>
        <w:rPr>
          <w:rFonts w:hint="eastAsia"/>
          <w:b/>
          <w:highlight w:val="yellow"/>
        </w:rPr>
        <w:t>理论园地</w:t>
      </w:r>
    </w:p>
    <w:p w14:paraId="01CD130C">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健全协商民主机制</w:t>
      </w:r>
    </w:p>
    <w:p w14:paraId="11431968">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为进一步全面深化改革彰显政协作为</w:t>
      </w:r>
    </w:p>
    <w:p w14:paraId="6ED62C86">
      <w:pPr>
        <w:pStyle w:val="28"/>
        <w:bidi w:val="0"/>
        <w:jc w:val="center"/>
        <w:rPr>
          <w:rFonts w:hint="eastAsia"/>
          <w:lang w:val="en-US" w:eastAsia="zh-CN"/>
        </w:rPr>
      </w:pPr>
      <w:r>
        <w:rPr>
          <w:rFonts w:hint="eastAsia"/>
          <w:lang w:val="en-US" w:eastAsia="zh-CN"/>
        </w:rPr>
        <w:t>杜亮</w:t>
      </w:r>
    </w:p>
    <w:p w14:paraId="7AFD4B2D">
      <w:pPr>
        <w:pStyle w:val="26"/>
        <w:bidi w:val="0"/>
        <w:rPr>
          <w:rFonts w:hint="eastAsia"/>
          <w:lang w:val="en-US" w:eastAsia="zh-CN"/>
        </w:rPr>
      </w:pPr>
      <w:r>
        <w:rPr>
          <w:rFonts w:hint="eastAsia"/>
          <w:lang w:val="en-US" w:eastAsia="zh-CN"/>
        </w:rPr>
        <w:t>中共二十届三中全会是新时代新征程上推动全面深化改革向广度和深度进军的总动员、总部署，全会通过的《中共中央关于进一步全面深化改革、推进中国式现代化的决定》（下文简称《决定》）共 15 部分60条，提出300多项重要改革举措。在第八部分“健全全过程人民民主制度体系”中，重申要发挥人民政协作为专门协商机构的作用，并提出“健全协商民主机制”的三项工作重点，即健全深度协商互动、意见充分表达、广泛凝聚共识的机制，加强人民政协反映社情民意、联系群众、服务人民的机制建设，完善人民政协民主监督机制。认真学习《决定》，笔者在如何健全协商民主机制方面有以下几点体会。</w:t>
      </w:r>
    </w:p>
    <w:p w14:paraId="35B731DF">
      <w:pPr>
        <w:pStyle w:val="26"/>
        <w:bidi w:val="0"/>
        <w:jc w:val="center"/>
        <w:rPr>
          <w:rFonts w:hint="eastAsia"/>
          <w:b/>
          <w:bCs/>
          <w:lang w:val="en-US" w:eastAsia="zh-CN"/>
        </w:rPr>
      </w:pPr>
      <w:r>
        <w:rPr>
          <w:rFonts w:hint="eastAsia"/>
          <w:b/>
          <w:bCs/>
          <w:lang w:val="en-US" w:eastAsia="zh-CN"/>
        </w:rPr>
        <w:t>在深度协商和凝聚共识上加强制度设计</w:t>
      </w:r>
    </w:p>
    <w:p w14:paraId="648F1C51">
      <w:pPr>
        <w:pStyle w:val="26"/>
        <w:bidi w:val="0"/>
        <w:rPr>
          <w:rFonts w:hint="eastAsia"/>
          <w:lang w:val="en-US" w:eastAsia="zh-CN"/>
        </w:rPr>
      </w:pPr>
      <w:r>
        <w:rPr>
          <w:rFonts w:hint="eastAsia"/>
          <w:lang w:val="en-US" w:eastAsia="zh-CN"/>
        </w:rPr>
        <w:t>中共二十大报告明确提出“提高深度协商互动、意见充分表达、广泛凝聚共识水平”，中共二十届三中全会把这项要求上升到“健全协商民主机制”的工作重点来强调，这是对中共二十大要求的进一步深化和强化。落实好这项机制，需从以下几个方面着手：</w:t>
      </w:r>
    </w:p>
    <w:p w14:paraId="0AB2029F">
      <w:pPr>
        <w:pStyle w:val="26"/>
        <w:bidi w:val="0"/>
        <w:rPr>
          <w:rFonts w:hint="eastAsia"/>
          <w:lang w:val="en-US" w:eastAsia="zh-CN"/>
        </w:rPr>
      </w:pPr>
      <w:r>
        <w:rPr>
          <w:rFonts w:hint="eastAsia"/>
          <w:b/>
          <w:bCs/>
          <w:lang w:val="en-US" w:eastAsia="zh-CN"/>
        </w:rPr>
        <w:t>健全年度协商选题机制。</w:t>
      </w:r>
      <w:r>
        <w:rPr>
          <w:rFonts w:hint="eastAsia"/>
          <w:lang w:val="en-US" w:eastAsia="zh-CN"/>
        </w:rPr>
        <w:t>习近平总书记明确指出“要坚持和完善党委会同政府、政协制定年度协商计划制度”，因此在选题协商过程中，党委牵头确定选题、明确责任主体、形成工作制度很重要。党委、政府、政协共同协商选题要有工作机制，政协面向各参加单位征求协商选题意见也要有工作机制，并涵盖从选题征求、讨论、论证到上会研究等不同阶段的程序步骤。</w:t>
      </w:r>
    </w:p>
    <w:p w14:paraId="3628D8F9">
      <w:pPr>
        <w:pStyle w:val="26"/>
        <w:bidi w:val="0"/>
        <w:rPr>
          <w:rFonts w:hint="eastAsia"/>
          <w:lang w:val="en-US" w:eastAsia="zh-CN"/>
        </w:rPr>
      </w:pPr>
      <w:r>
        <w:rPr>
          <w:rFonts w:hint="eastAsia"/>
          <w:b/>
          <w:bCs/>
          <w:lang w:val="en-US" w:eastAsia="zh-CN"/>
        </w:rPr>
        <w:t>健全专项政情通报机制。</w:t>
      </w:r>
      <w:r>
        <w:rPr>
          <w:rFonts w:hint="eastAsia"/>
          <w:lang w:val="en-US" w:eastAsia="zh-CN"/>
        </w:rPr>
        <w:t>健全重点协商工作的专项政情通报会制度，既要办好面向全体委员的政情通报会，更要做好重点专题协商、重点提案督办、重点视察调研、重点民主监督之前的专项通报。专项通报最好设置提问和问答环节。党委政府相关部门要及时为政协各类协商的开展提供相关材料，让政协委员知情明政、精准建言。</w:t>
      </w:r>
    </w:p>
    <w:p w14:paraId="03598E22">
      <w:pPr>
        <w:pStyle w:val="26"/>
        <w:bidi w:val="0"/>
        <w:rPr>
          <w:rFonts w:hint="eastAsia"/>
          <w:lang w:val="en-US" w:eastAsia="zh-CN"/>
        </w:rPr>
      </w:pPr>
      <w:r>
        <w:rPr>
          <w:rFonts w:hint="eastAsia"/>
          <w:b/>
          <w:bCs/>
          <w:lang w:val="en-US" w:eastAsia="zh-CN"/>
        </w:rPr>
        <w:t>健全协商会议互动机制。</w:t>
      </w:r>
      <w:r>
        <w:rPr>
          <w:rFonts w:hint="eastAsia"/>
          <w:lang w:val="en-US" w:eastAsia="zh-CN"/>
        </w:rPr>
        <w:t>协商会议上除了事先安排好的重点发言和领导讲话，还应有一定时间安排委员即席发言，与参加会议的党政部门负责同志充分沟通协商，问有所答、惑有所解、盼有所复，真正互动起来，才能达到深度协商互动、意见充分表达、广泛凝聚共识的效果。</w:t>
      </w:r>
    </w:p>
    <w:p w14:paraId="01422C2A">
      <w:pPr>
        <w:pStyle w:val="26"/>
        <w:bidi w:val="0"/>
        <w:jc w:val="center"/>
        <w:rPr>
          <w:rFonts w:hint="eastAsia"/>
          <w:b/>
          <w:bCs/>
          <w:lang w:val="en-US" w:eastAsia="zh-CN"/>
        </w:rPr>
      </w:pPr>
      <w:r>
        <w:rPr>
          <w:rFonts w:hint="eastAsia"/>
          <w:b/>
          <w:bCs/>
          <w:lang w:val="en-US" w:eastAsia="zh-CN"/>
        </w:rPr>
        <w:t>在反映民意和服务群众上加强制度设计</w:t>
      </w:r>
    </w:p>
    <w:p w14:paraId="6A36A6F8">
      <w:pPr>
        <w:pStyle w:val="26"/>
        <w:bidi w:val="0"/>
        <w:rPr>
          <w:rFonts w:hint="eastAsia"/>
          <w:lang w:val="en-US" w:eastAsia="zh-CN"/>
        </w:rPr>
      </w:pPr>
      <w:r>
        <w:rPr>
          <w:rFonts w:hint="eastAsia"/>
          <w:lang w:val="en-US" w:eastAsia="zh-CN"/>
        </w:rPr>
        <w:t>中共二十大报告提出“完善人民政协民主监督和委员联系界别群众制度机制”，《决定》在此基础上增加新的内容，形成“加强人民政协反映社情民意、联系群众、服务人民的机制建设”“完善人民政协民主监督机制”这两句表述，更加强调政协做好联系群众、服务人民工作的重要性和必要性。建议重点完善以下机制：</w:t>
      </w:r>
    </w:p>
    <w:p w14:paraId="7BDEF423">
      <w:pPr>
        <w:pStyle w:val="26"/>
        <w:bidi w:val="0"/>
        <w:rPr>
          <w:rFonts w:hint="eastAsia"/>
          <w:lang w:val="en-US" w:eastAsia="zh-CN"/>
        </w:rPr>
      </w:pPr>
      <w:r>
        <w:rPr>
          <w:rFonts w:hint="eastAsia"/>
          <w:b/>
          <w:bCs/>
          <w:lang w:val="en-US" w:eastAsia="zh-CN"/>
        </w:rPr>
        <w:t>驻点联系群众机制。</w:t>
      </w:r>
      <w:r>
        <w:rPr>
          <w:rFonts w:hint="eastAsia"/>
          <w:lang w:val="en-US" w:eastAsia="zh-CN"/>
        </w:rPr>
        <w:t>驻点联系群众要做到有固定工作场地、有制度化活动、有工作职责告示、有工作实效、有考核激励。</w:t>
      </w:r>
    </w:p>
    <w:p w14:paraId="4F99C699">
      <w:pPr>
        <w:pStyle w:val="26"/>
        <w:bidi w:val="0"/>
        <w:rPr>
          <w:rFonts w:hint="eastAsia"/>
          <w:lang w:val="en-US" w:eastAsia="zh-CN"/>
        </w:rPr>
      </w:pPr>
      <w:r>
        <w:rPr>
          <w:rFonts w:hint="eastAsia"/>
          <w:b/>
          <w:bCs/>
          <w:lang w:val="en-US" w:eastAsia="zh-CN"/>
        </w:rPr>
        <w:t>挂钩服务基层群众机制。</w:t>
      </w:r>
      <w:r>
        <w:rPr>
          <w:rFonts w:hint="eastAsia"/>
          <w:lang w:val="en-US" w:eastAsia="zh-CN"/>
        </w:rPr>
        <w:t>要与基层党委政府密切配合，在动态找准服务对象、满足不同群众所需、发挥政协组织和委员所能上，寻找行之有效的办法。</w:t>
      </w:r>
    </w:p>
    <w:p w14:paraId="3652606F">
      <w:pPr>
        <w:pStyle w:val="26"/>
        <w:bidi w:val="0"/>
        <w:rPr>
          <w:rFonts w:hint="eastAsia"/>
          <w:lang w:val="en-US" w:eastAsia="zh-CN"/>
        </w:rPr>
      </w:pPr>
      <w:r>
        <w:rPr>
          <w:rFonts w:hint="eastAsia"/>
          <w:b/>
          <w:bCs/>
          <w:lang w:val="en-US" w:eastAsia="zh-CN"/>
        </w:rPr>
        <w:t>社情民意收集反映机制。</w:t>
      </w:r>
      <w:r>
        <w:rPr>
          <w:rFonts w:hint="eastAsia"/>
          <w:lang w:val="en-US" w:eastAsia="zh-CN"/>
        </w:rPr>
        <w:t>要解决好从哪里收集、谁来撰写、谁来把关、向谁反映、谁来落实等问题，善于对大量零星、孤立的信息进行归纳分析、加工提炼，力求把群众急难愁盼的典型性、苗头性、趋势性问题，及时通过政协渠道反映，帮助推动问题的解决。</w:t>
      </w:r>
    </w:p>
    <w:p w14:paraId="38A5E171">
      <w:pPr>
        <w:pStyle w:val="26"/>
        <w:bidi w:val="0"/>
        <w:rPr>
          <w:rFonts w:hint="eastAsia"/>
          <w:lang w:val="en-US" w:eastAsia="zh-CN"/>
        </w:rPr>
      </w:pPr>
      <w:r>
        <w:rPr>
          <w:rFonts w:hint="eastAsia"/>
          <w:b/>
          <w:bCs/>
          <w:lang w:val="en-US" w:eastAsia="zh-CN"/>
        </w:rPr>
        <w:t>网上联系群众机制。</w:t>
      </w:r>
      <w:r>
        <w:rPr>
          <w:rFonts w:hint="eastAsia"/>
          <w:lang w:val="en-US" w:eastAsia="zh-CN"/>
        </w:rPr>
        <w:t>走好网上群众路线，把政协网站、微博、微信公众号等宣传平台办得更活泼、更接地气，既要通过网上平台生动展示政协履职活动、宣传履职成果，更要在留言设置、开放互动上下功夫，方便群众发表意见建议。政协开展重点协商活动之前和进行过程中，要善于通过网络鼓励群众发表意见，并为此提供各种便利。此外，还要建立政协委员和机关干部担任网评员并参与网评的工作机制，及时在网上与群众交流互动，倾听民声、呼应民意，同时宣传党中央大政方针、引导群众正确认识困难和问题，起到汇聚社会团结向上正能量的作用。</w:t>
      </w:r>
    </w:p>
    <w:p w14:paraId="1CF6C396">
      <w:pPr>
        <w:pStyle w:val="13"/>
        <w:rPr>
          <w:rFonts w:hint="eastAsia" w:ascii="Calibri" w:hAnsi="Times New Roman" w:eastAsia="宋体" w:cs="Times New Roman"/>
          <w:b/>
          <w:bCs/>
          <w:color w:val="000000" w:themeColor="text1"/>
          <w:kern w:val="2"/>
          <w:sz w:val="28"/>
          <w:szCs w:val="20"/>
          <w:lang w:val="en-US" w:eastAsia="zh-CN" w:bidi="ar-SA"/>
        </w:rPr>
      </w:pPr>
      <w:r>
        <w:rPr>
          <w:rFonts w:hint="eastAsia" w:ascii="Calibri" w:hAnsi="Times New Roman" w:eastAsia="宋体" w:cs="Times New Roman"/>
          <w:b/>
          <w:bCs/>
          <w:color w:val="000000" w:themeColor="text1"/>
          <w:kern w:val="2"/>
          <w:sz w:val="28"/>
          <w:szCs w:val="20"/>
          <w:lang w:val="en-US" w:eastAsia="zh-CN" w:bidi="ar-SA"/>
        </w:rPr>
        <w:t>在提升监督水平和成效上加强制度设计</w:t>
      </w:r>
    </w:p>
    <w:p w14:paraId="7692E803">
      <w:pPr>
        <w:pStyle w:val="26"/>
        <w:bidi w:val="0"/>
        <w:rPr>
          <w:rFonts w:hint="eastAsia"/>
          <w:lang w:val="en-US" w:eastAsia="zh-CN"/>
        </w:rPr>
      </w:pPr>
      <w:r>
        <w:rPr>
          <w:rFonts w:hint="eastAsia"/>
          <w:lang w:val="en-US" w:eastAsia="zh-CN"/>
        </w:rPr>
        <w:t>《决定》提出“完善人民政协民主监督机制”，把这项任务真正落实好 , 需做好以下工作：</w:t>
      </w:r>
    </w:p>
    <w:p w14:paraId="682CDA93">
      <w:pPr>
        <w:pStyle w:val="26"/>
        <w:bidi w:val="0"/>
        <w:rPr>
          <w:rFonts w:hint="eastAsia"/>
          <w:lang w:val="en-US" w:eastAsia="zh-CN"/>
        </w:rPr>
      </w:pPr>
      <w:r>
        <w:rPr>
          <w:rFonts w:hint="eastAsia"/>
          <w:b/>
          <w:bCs/>
          <w:lang w:val="en-US" w:eastAsia="zh-CN"/>
        </w:rPr>
        <w:t>建立问题协商机制。</w:t>
      </w:r>
      <w:r>
        <w:rPr>
          <w:rFonts w:hint="eastAsia"/>
          <w:lang w:val="en-US" w:eastAsia="zh-CN"/>
        </w:rPr>
        <w:t>政协要主动搭建平台，组织委员与党委政府相关部门协商，走到问题多、矛盾多的地方与基层干部群众协商，与政协各参加单位和基层政协委员多协商。通过协商，找准监督切入口，深入研究监督主题方向如何把握、先后顺序如何区分、问题从哪里突破等。把这些问题研究好了，民主监督就能事半功倍。</w:t>
      </w:r>
    </w:p>
    <w:p w14:paraId="6506E272">
      <w:pPr>
        <w:pStyle w:val="26"/>
        <w:bidi w:val="0"/>
        <w:rPr>
          <w:rFonts w:hint="eastAsia"/>
          <w:lang w:val="en-US" w:eastAsia="zh-CN"/>
        </w:rPr>
      </w:pPr>
      <w:r>
        <w:rPr>
          <w:rFonts w:hint="eastAsia"/>
          <w:b/>
          <w:bCs/>
          <w:lang w:val="en-US" w:eastAsia="zh-CN"/>
        </w:rPr>
        <w:t>健全协同配合机制。</w:t>
      </w:r>
      <w:r>
        <w:rPr>
          <w:rFonts w:hint="eastAsia"/>
          <w:lang w:val="en-US" w:eastAsia="zh-CN"/>
        </w:rPr>
        <w:t>民主监督能不能做好，离不开党委政府的重视、支持与配合。因此，政协开展民主监督的组织安排、监督过程、成果落实，都需要有一套和党委政府协同配合的机制。做好民主监督，要把政协会议监督、视察监督、提案监督、调研监督、专项监督等多种监督手段协同配合起来，政协内部要有监督的统筹协调机制，特别是对于重大专项监督，要细化各监督手段和参与各方协同配合的机制。</w:t>
      </w:r>
    </w:p>
    <w:p w14:paraId="213B70D5">
      <w:pPr>
        <w:pStyle w:val="26"/>
        <w:bidi w:val="0"/>
        <w:rPr>
          <w:rFonts w:hint="eastAsia"/>
          <w:lang w:val="en-US" w:eastAsia="zh-CN"/>
        </w:rPr>
      </w:pPr>
      <w:r>
        <w:rPr>
          <w:rFonts w:hint="eastAsia"/>
          <w:b/>
          <w:bCs/>
          <w:lang w:val="en-US" w:eastAsia="zh-CN"/>
        </w:rPr>
        <w:t>强化落实反馈机制。</w:t>
      </w:r>
      <w:r>
        <w:rPr>
          <w:rFonts w:hint="eastAsia"/>
          <w:lang w:val="en-US" w:eastAsia="zh-CN"/>
        </w:rPr>
        <w:t>政协完成监督工作并向党委政府上报监督情况报告后，还需建立落实与反馈机制，包括办理时限、由谁牵头落实、意见如何采纳落实等。建议党委政府以书面方式向政协通报，或者在政协举行的全体会议或常委会会议上向政协进行通报反馈。</w:t>
      </w:r>
    </w:p>
    <w:p w14:paraId="26FC0D15">
      <w:pPr>
        <w:pStyle w:val="26"/>
        <w:bidi w:val="0"/>
        <w:jc w:val="center"/>
        <w:rPr>
          <w:rFonts w:hint="eastAsia"/>
          <w:b/>
          <w:bCs/>
          <w:lang w:val="en-US" w:eastAsia="zh-CN"/>
        </w:rPr>
      </w:pPr>
      <w:r>
        <w:rPr>
          <w:rFonts w:hint="eastAsia"/>
          <w:b/>
          <w:bCs/>
          <w:lang w:val="en-US" w:eastAsia="zh-CN"/>
        </w:rPr>
        <w:t>在服务改革和推动发展中加强制度设计</w:t>
      </w:r>
    </w:p>
    <w:p w14:paraId="6D053298">
      <w:pPr>
        <w:pStyle w:val="26"/>
        <w:bidi w:val="0"/>
        <w:rPr>
          <w:rFonts w:hint="eastAsia"/>
          <w:lang w:val="en-US" w:eastAsia="zh-CN"/>
        </w:rPr>
      </w:pPr>
      <w:r>
        <w:rPr>
          <w:rFonts w:hint="eastAsia"/>
          <w:lang w:val="en-US" w:eastAsia="zh-CN"/>
        </w:rPr>
        <w:t>协商民主机制建设抓得好不好，关系到政协能否在发展全过程人民民主中体现作为，更关系到政协能否在进一步全面深化改革、推进中国式现代化中体现出专门协商机构的优势作用。这就需要在服务全面深化改革中加强协商民主机制建设，重点可围绕以下几点展开：</w:t>
      </w:r>
    </w:p>
    <w:p w14:paraId="45882A29">
      <w:pPr>
        <w:pStyle w:val="26"/>
        <w:bidi w:val="0"/>
        <w:rPr>
          <w:rFonts w:hint="eastAsia"/>
          <w:lang w:val="en-US" w:eastAsia="zh-CN"/>
        </w:rPr>
      </w:pPr>
      <w:r>
        <w:rPr>
          <w:rFonts w:hint="eastAsia"/>
          <w:b/>
          <w:bCs/>
          <w:lang w:val="en-US" w:eastAsia="zh-CN"/>
        </w:rPr>
        <w:t>围绕落实改革的重点任务深度协商互动。</w:t>
      </w:r>
      <w:r>
        <w:rPr>
          <w:rFonts w:hint="eastAsia"/>
          <w:lang w:val="en-US" w:eastAsia="zh-CN"/>
        </w:rPr>
        <w:t>特别是要针对如何坚持和落实“两个毫不动摇”、如何构建全国统一大市场、如何健全因地制宜发展新质生产力体制机制、如何构建支持全面创新体制机制、如何健全宏观经济治理体系、如何完善城乡融合发展体制机制、如何完善高水平对外开放体制机制、如何深化文化体制机制改革、如何健全保障和改善民生制度体系、如何深化生态文明体制改革等重点问题开展调查研究和协商议政，提出务实可行的意见建议。</w:t>
      </w:r>
    </w:p>
    <w:p w14:paraId="318B1B7A">
      <w:pPr>
        <w:pStyle w:val="26"/>
        <w:bidi w:val="0"/>
        <w:rPr>
          <w:rFonts w:hint="eastAsia"/>
          <w:lang w:val="en-US" w:eastAsia="zh-CN"/>
        </w:rPr>
      </w:pPr>
      <w:r>
        <w:rPr>
          <w:rFonts w:hint="eastAsia"/>
          <w:b/>
          <w:bCs/>
          <w:lang w:val="en-US" w:eastAsia="zh-CN"/>
        </w:rPr>
        <w:t>围绕解决改革的难点问题强化民主监督。</w:t>
      </w:r>
      <w:r>
        <w:rPr>
          <w:rFonts w:hint="eastAsia"/>
          <w:lang w:val="en-US" w:eastAsia="zh-CN"/>
        </w:rPr>
        <w:t>特别是针对如何创造更加公平、更有活力的市场环境，如何深化教育改革、科技体制改革、人才发展体制机制改革，如何深化财税体制改革、金融体制改革、区域协调发展战略机制，如何推进新型城镇化体制机制、巩固和完善农村基本经营制度，如何完善收入分配制度、就业优先制度、社会保障体系、深化医药卫生体制改革、健全人口发展支持和服务体系等开展协商式监督，提高监督的针对性和实效性。</w:t>
      </w:r>
    </w:p>
    <w:p w14:paraId="640A6B5C">
      <w:pPr>
        <w:pStyle w:val="26"/>
        <w:bidi w:val="0"/>
        <w:rPr>
          <w:rFonts w:hint="eastAsia"/>
          <w:lang w:val="en-US" w:eastAsia="zh-CN"/>
        </w:rPr>
      </w:pPr>
      <w:r>
        <w:rPr>
          <w:rFonts w:hint="eastAsia"/>
          <w:b/>
          <w:bCs/>
          <w:lang w:val="en-US" w:eastAsia="zh-CN"/>
        </w:rPr>
        <w:t>围绕夯实改革的民意基础凝聚强大合力。</w:t>
      </w:r>
      <w:r>
        <w:rPr>
          <w:rFonts w:hint="eastAsia"/>
          <w:lang w:val="en-US" w:eastAsia="zh-CN"/>
        </w:rPr>
        <w:t>政协作为最广泛的爱国统一战线组织，在协商民主制度机制建设过程中要始终把为改革发展建言资政和凝聚共识结合起来，特别是对反映社情民意、联系群众、服务人民的每一项制度机制设计中，都要考虑如何把党和政府关于全面深化改革的部署要求向政协委员和所联系界别群众宣传好、引导好，都要考虑怎样为改革举措的落地落实做好释疑解惑、化解矛盾、减少阻力、增进共识的工作，凝聚起海内外中华儿女团结一心参与全面深化改革的智慧和力量。</w:t>
      </w:r>
    </w:p>
    <w:p w14:paraId="5EB99A49">
      <w:pPr>
        <w:pStyle w:val="28"/>
        <w:bidi w:val="0"/>
        <w:rPr>
          <w:rFonts w:hint="eastAsia"/>
          <w:lang w:val="en-US" w:eastAsia="zh-CN"/>
        </w:rPr>
      </w:pPr>
      <w:r>
        <w:rPr>
          <w:rFonts w:hint="eastAsia"/>
          <w:lang w:val="en-US" w:eastAsia="zh-CN"/>
        </w:rPr>
        <w:t>（作者系中国人民政协理论研究会第三届理事会理事、厦门市政协资源环境和农业农村委员会主任）</w:t>
      </w:r>
    </w:p>
    <w:p w14:paraId="6C5C9CAD">
      <w:pPr>
        <w:pStyle w:val="28"/>
        <w:bidi w:val="0"/>
        <w:jc w:val="left"/>
        <w:rPr>
          <w:rFonts w:hint="eastAsia"/>
          <w:lang w:val="en-US" w:eastAsia="zh-CN"/>
        </w:rPr>
      </w:pPr>
    </w:p>
    <w:p w14:paraId="0B0A1D17">
      <w:pPr>
        <w:pStyle w:val="28"/>
        <w:bidi w:val="0"/>
        <w:jc w:val="left"/>
        <w:rPr>
          <w:rFonts w:hint="eastAsia"/>
          <w:lang w:val="en-US" w:eastAsia="zh-CN"/>
        </w:rPr>
      </w:pPr>
    </w:p>
    <w:p w14:paraId="4B1A7EB7">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 xml:space="preserve">融入“三项机制”建设  </w:t>
      </w:r>
    </w:p>
    <w:p w14:paraId="0C4A0741">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创新推动提案工作提质增效</w:t>
      </w:r>
    </w:p>
    <w:p w14:paraId="1AF2C3DA">
      <w:pPr>
        <w:pStyle w:val="28"/>
        <w:bidi w:val="0"/>
        <w:jc w:val="center"/>
        <w:rPr>
          <w:rFonts w:hint="eastAsia"/>
          <w:lang w:val="en-US" w:eastAsia="zh-CN"/>
        </w:rPr>
      </w:pPr>
      <w:r>
        <w:rPr>
          <w:rFonts w:hint="eastAsia"/>
          <w:lang w:val="en-US" w:eastAsia="zh-CN"/>
        </w:rPr>
        <w:t>范世高</w:t>
      </w:r>
    </w:p>
    <w:p w14:paraId="165D4329">
      <w:pPr>
        <w:pStyle w:val="26"/>
        <w:bidi w:val="0"/>
        <w:rPr>
          <w:rFonts w:hint="eastAsia"/>
          <w:lang w:val="en-US" w:eastAsia="zh-CN"/>
        </w:rPr>
      </w:pPr>
      <w:r>
        <w:rPr>
          <w:rFonts w:hint="eastAsia"/>
          <w:lang w:val="en-US" w:eastAsia="zh-CN"/>
        </w:rPr>
        <w:t>党的二十届三中全会是新的历史起点上进一步全面深化改革、推进中国式现代化的总动员、总部署。全会通过的《中共中央关于进一步全面深化改革、推进中国式现代化的决定》，作出了关于“健全协商民主机制”重要论述，并根据新时代新征程的目标任务，对发挥人民政协专门协商机构作用作了进一步部署，重点是加强“三项机制”建设，即“健全深度协商互动、意见充分表达、广泛凝聚共识的机制。加强人民政协反映社情民意、联系群众、服务人民机制建设。完善人民政协民主监督机制”。这既为做好新时代新征程包括提案工作在内的人民政协工作指明了方向，也为政协委员履职尽责提供了指引。厦门市政协提案委认真贯彻落实习近平总书记关于加强和改进人民政协工作的重要思想，牢牢把握提案在政协工作中的基础性、经常性、全局性的独特地位和作用，坚持精品意识，坚持守正创新，积极在提案工作中融入“三项机制”建设，多层次、全方位持续推动提案工作提质增效。</w:t>
      </w:r>
    </w:p>
    <w:p w14:paraId="06F50990">
      <w:pPr>
        <w:pStyle w:val="26"/>
        <w:bidi w:val="0"/>
        <w:rPr>
          <w:rFonts w:hint="eastAsia"/>
          <w:b/>
          <w:bCs/>
          <w:lang w:val="en-US" w:eastAsia="zh-CN"/>
        </w:rPr>
      </w:pPr>
      <w:r>
        <w:rPr>
          <w:rFonts w:hint="eastAsia"/>
          <w:b/>
          <w:bCs/>
          <w:lang w:val="en-US" w:eastAsia="zh-CN"/>
        </w:rPr>
        <w:t>着力在提案工作中健全深度协商互动、意见充分表达、广泛凝聚共识的机制</w:t>
      </w:r>
    </w:p>
    <w:p w14:paraId="2E4C6921">
      <w:pPr>
        <w:pStyle w:val="26"/>
        <w:bidi w:val="0"/>
        <w:rPr>
          <w:rFonts w:hint="eastAsia"/>
          <w:lang w:val="en-US" w:eastAsia="zh-CN"/>
        </w:rPr>
      </w:pPr>
      <w:r>
        <w:rPr>
          <w:rFonts w:hint="eastAsia"/>
          <w:lang w:val="en-US" w:eastAsia="zh-CN"/>
        </w:rPr>
        <w:t>深度协商互动、意见充分表达、广泛凝聚共识这三个机制相互依存、相互促进，共同构成了专门协商机构内在运行机理。2024年以来，市政协提案委对标对表全国政协、省政协，对2019年修订的《厦门市政协提案工作条例》再次进行了认真修订，把三中全会提出“健全深度协商互动、意见充分表达、广泛凝聚共识的机制”融入到提案工作的各个环节，并在实践中积极推动落实。</w:t>
      </w:r>
    </w:p>
    <w:p w14:paraId="605BC755">
      <w:pPr>
        <w:pStyle w:val="26"/>
        <w:bidi w:val="0"/>
        <w:rPr>
          <w:rFonts w:hint="eastAsia"/>
          <w:lang w:val="en-US" w:eastAsia="zh-CN"/>
        </w:rPr>
      </w:pPr>
      <w:r>
        <w:rPr>
          <w:rFonts w:hint="eastAsia"/>
          <w:b/>
          <w:bCs/>
          <w:lang w:val="en-US" w:eastAsia="zh-CN"/>
        </w:rPr>
        <w:t>坚持和完善市委会同市政府、市政协制定并组织实施重点提案年度协商计划，围绕中心任务开展深度协商议政。</w:t>
      </w:r>
      <w:r>
        <w:rPr>
          <w:rFonts w:hint="eastAsia"/>
          <w:lang w:val="en-US" w:eastAsia="zh-CN"/>
        </w:rPr>
        <w:t>扎实落实市领导督办重点提案工作机制，每件重点提案都由市政府、市政协各一名领导共同督办。2023年、2024年分别遴选出9件和10件重点提案，由市政府、市政协领导分工齐抓督办，共同组织协商活动。提案委认真开展重点提案办前协商、办中协商、办复协商的服务保障，推动一批社会治理的热点难点问题和市民群众的意愿诉求通过提案渠道得以充分反映和积极解决。市委主要领导在重要提案摘报上作肯定性批示：“重要提案关注厦门经济、社会、民生的重点问题和科技前沿，很多以“小切口”、“深思考”的方式提出，对新一年市委市政府改进工作有很好的参谋作用。”</w:t>
      </w:r>
    </w:p>
    <w:p w14:paraId="68F65AC0">
      <w:pPr>
        <w:pStyle w:val="26"/>
        <w:bidi w:val="0"/>
        <w:rPr>
          <w:rFonts w:hint="eastAsia"/>
          <w:lang w:val="en-US" w:eastAsia="zh-CN"/>
        </w:rPr>
      </w:pPr>
      <w:r>
        <w:rPr>
          <w:rFonts w:hint="eastAsia"/>
          <w:b/>
          <w:bCs/>
          <w:lang w:val="en-US" w:eastAsia="zh-CN"/>
        </w:rPr>
        <w:t>坚持在提案工作中发扬民主和增进团结相互贯通、建言资政和凝聚共识双向发力，广泛凝聚人心和力量。</w:t>
      </w:r>
      <w:r>
        <w:rPr>
          <w:rFonts w:hint="eastAsia"/>
          <w:lang w:val="en-US" w:eastAsia="zh-CN"/>
        </w:rPr>
        <w:t>提案委积极完善民主党派和无党派人士通过政协提案在政协更好发挥作用的机制，支持他们在市政协参与市委市政府中心工作的讨论协商；发挥界别优势作用和专委会基础性作用，推动广大政协委员更好地建言资政。坚决贯彻落实“无调研不提提案”重要要求，端口前移，通过召开选题座谈会、调研课题前瞻介入、加强提案业务培训等方式，主动指导委员把质量意识和精品意识贯穿选题、调研、撰写各个步骤，选好切口、做实调查，从源头提升提案质量。“季谈会”是市政协提案委创新打造的“一委一品”特色工作品牌，提案委每季度选择一个经济发展重点难点或提案集中反映的民生议题，采用灵活多变的“商”的环节设计组织开展对口协商座谈，既有专家学者的专业解读，又有职能部门的实情分析，更融入政协各参加单位和政协委员的协商建言，往往都能碰撞出真知灼见，既为委员提出高质量提案拓宽来源渠道，也为职能部门办理提案提供思路方向。仅2023年以来，就先后召开“打造双循环相互促进节点城市”“专精特新企业新发展”等7场季谈会，先后收集汇总100余份有深度有操作性的意见建议，真正商出特色、商出办法、商出共识、商出成效。</w:t>
      </w:r>
    </w:p>
    <w:p w14:paraId="4801B33A">
      <w:pPr>
        <w:pStyle w:val="13"/>
        <w:rPr>
          <w:rFonts w:hint="eastAsia"/>
          <w:lang w:val="en-US" w:eastAsia="zh-CN"/>
        </w:rPr>
      </w:pPr>
    </w:p>
    <w:p w14:paraId="3FAFF5C2">
      <w:pPr>
        <w:pStyle w:val="26"/>
        <w:bidi w:val="0"/>
        <w:rPr>
          <w:rFonts w:hint="eastAsia"/>
          <w:b/>
          <w:bCs/>
          <w:lang w:val="en-US" w:eastAsia="zh-CN"/>
        </w:rPr>
      </w:pPr>
      <w:r>
        <w:rPr>
          <w:rFonts w:hint="eastAsia"/>
          <w:b/>
          <w:bCs/>
          <w:lang w:val="en-US" w:eastAsia="zh-CN"/>
        </w:rPr>
        <w:t>着力在提案工作中加强人民政协反映社情民意、联系群众、服务人民机制建设</w:t>
      </w:r>
    </w:p>
    <w:p w14:paraId="071E4FBA">
      <w:pPr>
        <w:pStyle w:val="26"/>
        <w:bidi w:val="0"/>
        <w:rPr>
          <w:rFonts w:hint="eastAsia"/>
          <w:lang w:val="en-US" w:eastAsia="zh-CN"/>
        </w:rPr>
      </w:pPr>
      <w:r>
        <w:rPr>
          <w:rFonts w:hint="eastAsia"/>
          <w:lang w:val="en-US" w:eastAsia="zh-CN"/>
        </w:rPr>
        <w:t>人民政协为人民。在提案工作中融入“加强人民政协反映社情民意、联系群众、服务人民机制建设”，是践行以人民为中心的价值取向、更好满足人民美好生活需要的必然要求，也是人民政协履行职能的应有之义。</w:t>
      </w:r>
    </w:p>
    <w:p w14:paraId="31C734F5">
      <w:pPr>
        <w:pStyle w:val="26"/>
        <w:bidi w:val="0"/>
        <w:rPr>
          <w:rFonts w:hint="eastAsia"/>
          <w:lang w:val="en-US" w:eastAsia="zh-CN"/>
        </w:rPr>
      </w:pPr>
      <w:r>
        <w:rPr>
          <w:rFonts w:hint="eastAsia"/>
          <w:b/>
          <w:bCs/>
          <w:lang w:val="en-US" w:eastAsia="zh-CN"/>
        </w:rPr>
        <w:t>以提案工作健全社情民意汇集机制，深入掌握群众所思所想所盼。</w:t>
      </w:r>
      <w:r>
        <w:rPr>
          <w:rFonts w:hint="eastAsia"/>
          <w:lang w:val="en-US" w:eastAsia="zh-CN"/>
        </w:rPr>
        <w:t>充分利用政协位置超脱、联系广泛、沟通便捷等优势，把反映社情民意与协商议事、提案办理等工作紧密结合起来，把提交提案作为汇集社情民意工作的重点手段，进一步延伸“触角”、拓宽“渠道”，更好地吸纳民意、汇聚民智。紧扣党政中心工作、舆论关注热点，鼓励委员在开展提案的视察调研、协商议政、民主监督等履职活动中倾听群众心声、回应群众关切，发动委员广泛了解界别群众意愿，把各方面各阶层新情况、新问题和建议及时收集上来，加强汇总分析研判，从中形成政协提案，增强提案工作精准度和针对性。</w:t>
      </w:r>
    </w:p>
    <w:p w14:paraId="624815CC">
      <w:pPr>
        <w:pStyle w:val="26"/>
        <w:bidi w:val="0"/>
        <w:rPr>
          <w:rFonts w:hint="eastAsia"/>
          <w:lang w:val="en-US" w:eastAsia="zh-CN"/>
        </w:rPr>
      </w:pPr>
      <w:r>
        <w:rPr>
          <w:rFonts w:hint="eastAsia"/>
          <w:b/>
          <w:bCs/>
          <w:lang w:val="en-US" w:eastAsia="zh-CN"/>
        </w:rPr>
        <w:t>以提案工作健全委员联系界别群众机制，让群众感到政协离自己很近、委员就在身边。</w:t>
      </w:r>
      <w:r>
        <w:rPr>
          <w:rFonts w:hint="eastAsia"/>
          <w:lang w:val="en-US" w:eastAsia="zh-CN"/>
        </w:rPr>
        <w:t>政协委员来自界别、依托界别、代表界别，密切联系界别群众是政协委员的应尽职责。市政协提案委认真落实所联系界别党员委员联系党外委员、委员联系界别群众工作机制，努力搭好联系平台，建好用好委员联系点，持续织密委员联系界别群众网络，打通联系群众的“最后一公里”，不断推进委员联系界别群众工作走深走实。建立健全专委会联系专家、委员帮扶困难群众等机制，推动委员深度融入界别群众，支持委员依托委员联系点，在其工作地、居住地就近开展联系群众工作，当好党的政策宣传员、思想政治引领者、界别群众贴心人。</w:t>
      </w:r>
    </w:p>
    <w:p w14:paraId="288246E0">
      <w:pPr>
        <w:pStyle w:val="26"/>
        <w:bidi w:val="0"/>
        <w:rPr>
          <w:rFonts w:hint="eastAsia"/>
          <w:lang w:val="en-US" w:eastAsia="zh-CN"/>
        </w:rPr>
      </w:pPr>
      <w:r>
        <w:rPr>
          <w:rFonts w:hint="eastAsia"/>
          <w:b/>
          <w:bCs/>
          <w:lang w:val="en-US" w:eastAsia="zh-CN"/>
        </w:rPr>
        <w:t>以提案工作健全政协履职服务人民机制，不断增强群众获得感、幸福感、安全感。</w:t>
      </w:r>
      <w:r>
        <w:rPr>
          <w:rFonts w:hint="eastAsia"/>
          <w:lang w:val="en-US" w:eastAsia="zh-CN"/>
        </w:rPr>
        <w:t>政协提案是倾听群众呼声、深入掌握民情、广泛集中民智、充分凝聚民力的重要渠道。市政协提案委坚持履职为民，深入开展委员履职“服务为民”等活动，引导提案委委员立足岗位实际、发挥专长优势，聚焦解决好人民群众切身利益问题献计出力，为群众办实事、解难事，让群众看到变化、得到实惠，切实把履职成果转化为人民群众的幸福指数。创新组织开展协商式现场调研，把协商活动从会议室延伸到社区、农村、项目和企业现场，提升基层协商议事的便捷性实效性。健全涉民生提案跟踪督办机制，将涉民生重点提案办理与开展协商式民主监督结合起来，促进提办双方深度协商、充分互动，切实提升办理质量。</w:t>
      </w:r>
    </w:p>
    <w:p w14:paraId="36539DFF">
      <w:pPr>
        <w:pStyle w:val="26"/>
        <w:bidi w:val="0"/>
        <w:jc w:val="center"/>
        <w:rPr>
          <w:rFonts w:hint="eastAsia"/>
          <w:b/>
          <w:bCs/>
          <w:lang w:val="en-US" w:eastAsia="zh-CN"/>
        </w:rPr>
      </w:pPr>
      <w:r>
        <w:rPr>
          <w:rFonts w:hint="eastAsia"/>
          <w:b/>
          <w:bCs/>
          <w:lang w:val="en-US" w:eastAsia="zh-CN"/>
        </w:rPr>
        <w:t>着力在提案工作中完善人民政协民主监督机制</w:t>
      </w:r>
    </w:p>
    <w:p w14:paraId="373DD82E">
      <w:pPr>
        <w:pStyle w:val="26"/>
        <w:bidi w:val="0"/>
        <w:rPr>
          <w:rFonts w:hint="eastAsia"/>
          <w:lang w:val="en-US" w:eastAsia="zh-CN"/>
        </w:rPr>
      </w:pPr>
      <w:r>
        <w:rPr>
          <w:rFonts w:hint="eastAsia"/>
          <w:lang w:val="en-US" w:eastAsia="zh-CN"/>
        </w:rPr>
        <w:t>民主监督是人民政协的重要职能。十八大以来，习近平总书记高度重视加强和改进人民政协民主监督工作，强调“加强人民政协民主监督，重点监督党和国家重大方针政策和重要决策部署的贯彻落实”。全国政协2023年底印发《关于加强和改进民主监督工作的实施意见》，为各级政协履行民主监督职能，明确了加大探索力度的实践路径。市政协提案工作坚持人民政协性质定位，努力探索人民政协民主监督工作的正确方向。</w:t>
      </w:r>
    </w:p>
    <w:p w14:paraId="3D9A23A0">
      <w:pPr>
        <w:pStyle w:val="26"/>
        <w:bidi w:val="0"/>
        <w:rPr>
          <w:rFonts w:hint="eastAsia"/>
          <w:lang w:val="en-US" w:eastAsia="zh-CN"/>
        </w:rPr>
      </w:pPr>
      <w:r>
        <w:rPr>
          <w:rFonts w:hint="eastAsia"/>
          <w:b/>
          <w:bCs/>
          <w:lang w:val="en-US" w:eastAsia="zh-CN"/>
        </w:rPr>
        <w:t>积极加强提案民主监督制度建设。</w:t>
      </w:r>
      <w:r>
        <w:rPr>
          <w:rFonts w:hint="eastAsia"/>
          <w:lang w:val="en-US" w:eastAsia="zh-CN"/>
        </w:rPr>
        <w:t>2024年来，以提案条例修订为契机，在第22条“提案办理的基本要求”一节中，增加了“把办理提案作为贯彻执行我国基本政治制度的一项重要政治任务和接受民主监督、改进部门工作的重要途径，切实提高对提案办理工作重要性的认识”的叙述，并明确要求各相关部门要积极主动承担办理任务、扎实开展有关工作，从而提升提案交办的可及性和提案办理的实效性。发挥协商式监督优势和作用，每年均结合重点提案督办和市委市政府重大决策部署情况，组织开展常委会民主监督协商。</w:t>
      </w:r>
    </w:p>
    <w:p w14:paraId="0DFDEE02">
      <w:pPr>
        <w:pStyle w:val="26"/>
        <w:bidi w:val="0"/>
        <w:rPr>
          <w:rFonts w:hint="eastAsia"/>
          <w:lang w:val="en-US" w:eastAsia="zh-CN"/>
        </w:rPr>
      </w:pPr>
      <w:r>
        <w:rPr>
          <w:rFonts w:hint="eastAsia"/>
          <w:b/>
          <w:bCs/>
          <w:lang w:val="en-US" w:eastAsia="zh-CN"/>
        </w:rPr>
        <w:t>积极强化提案工作刚性监督。</w:t>
      </w:r>
      <w:r>
        <w:rPr>
          <w:rFonts w:hint="eastAsia"/>
          <w:lang w:val="en-US" w:eastAsia="zh-CN"/>
        </w:rPr>
        <w:t>在提案工作中创新探索加强人民政协民主监督同党内监督、人大监督、行政监督、司法监督、社会监督、舆论监督等的协调配合，不断增强监督合力。2024年初，经过前期探索和大量实践，市政协与市检察院联合印发了《关于建立政协提案与公益诉讼检察建议双向衔接转化机制的意见》，正式建立互动协作的创新机制，发挥政协提案在参与公共利益保护、助力检察机关公益诉讼中的作用，推动政协民主监督与检察法律监督有机贯通、相互协调，为柔性的民主监督增强了刚性的法律监督助力。同时，提案委还与市委巡查部门建立联动机制，将提案办理工作纳入巡查工作范围，强化了提案办理的纪律刚性监督。</w:t>
      </w:r>
    </w:p>
    <w:p w14:paraId="0EDECB96">
      <w:pPr>
        <w:pStyle w:val="28"/>
        <w:bidi w:val="0"/>
        <w:rPr>
          <w:rFonts w:hint="eastAsia"/>
          <w:lang w:val="en-US" w:eastAsia="zh-CN"/>
        </w:rPr>
      </w:pPr>
      <w:r>
        <w:rPr>
          <w:rFonts w:hint="eastAsia"/>
          <w:lang w:val="en-US" w:eastAsia="zh-CN"/>
        </w:rPr>
        <w:t>（作者系福建省人民政协理论研究会特邀研究员、厦门市政协提案委秘书处处长）</w:t>
      </w:r>
    </w:p>
    <w:p w14:paraId="68E8173C">
      <w:pPr>
        <w:pStyle w:val="28"/>
        <w:bidi w:val="0"/>
        <w:jc w:val="left"/>
        <w:rPr>
          <w:rFonts w:hint="eastAsia"/>
          <w:lang w:val="en-US" w:eastAsia="zh-CN"/>
        </w:rPr>
      </w:pPr>
    </w:p>
    <w:p w14:paraId="74E9CE76">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民主党派在公共决策中的作用及实现路径</w:t>
      </w:r>
    </w:p>
    <w:p w14:paraId="55FCB2BE">
      <w:pPr>
        <w:pStyle w:val="28"/>
        <w:bidi w:val="0"/>
        <w:jc w:val="center"/>
        <w:rPr>
          <w:rFonts w:hint="eastAsia"/>
          <w:lang w:val="en-US" w:eastAsia="zh-CN"/>
        </w:rPr>
      </w:pPr>
      <w:r>
        <w:rPr>
          <w:rFonts w:hint="eastAsia"/>
          <w:lang w:val="en-US" w:eastAsia="zh-CN"/>
        </w:rPr>
        <w:t>蔡 滢</w:t>
      </w:r>
    </w:p>
    <w:p w14:paraId="652D1850">
      <w:pPr>
        <w:pStyle w:val="26"/>
        <w:bidi w:val="0"/>
        <w:rPr>
          <w:rFonts w:hint="eastAsia"/>
          <w:lang w:val="en-US" w:eastAsia="zh-CN"/>
        </w:rPr>
      </w:pPr>
      <w:r>
        <w:rPr>
          <w:rFonts w:hint="eastAsia"/>
          <w:lang w:val="en-US" w:eastAsia="zh-CN"/>
        </w:rPr>
        <w:t>我国各民主党派现有的参政党政治地位是在长期的革命和斗争历史中确立，并伴随着社会主义建设和改革开放实践发展壮大。根据2022年6月颁布的《中国共产党政治协商工作条例》，不论是政党协商，即中国共产党同各民主党派、无党派人士直接开展的协商，还是人民政协政治协商，即中国共产党在人民政协同各民主党派和各界代表人士开展的协商，或者人大协商、政府协商等协商渠道中，民主党派及其成员都广泛参与其中。在协商民主制度的政策保障下，民主党派以各种形式参与到公共政策过程中，广泛深入参与公共政策各个阶段，发挥着重要而独特的作用。</w:t>
      </w:r>
    </w:p>
    <w:p w14:paraId="49204F63">
      <w:pPr>
        <w:pStyle w:val="26"/>
        <w:bidi w:val="0"/>
        <w:jc w:val="center"/>
        <w:rPr>
          <w:rFonts w:hint="eastAsia"/>
          <w:b/>
          <w:bCs/>
          <w:lang w:val="en-US" w:eastAsia="zh-CN"/>
        </w:rPr>
      </w:pPr>
      <w:r>
        <w:rPr>
          <w:rFonts w:hint="eastAsia"/>
          <w:b/>
          <w:bCs/>
          <w:lang w:val="en-US" w:eastAsia="zh-CN"/>
        </w:rPr>
        <w:t>汇集分析舆情，推动社会公共问题转化</w:t>
      </w:r>
    </w:p>
    <w:p w14:paraId="06A78AB6">
      <w:pPr>
        <w:pStyle w:val="26"/>
        <w:bidi w:val="0"/>
        <w:rPr>
          <w:rFonts w:hint="eastAsia"/>
          <w:lang w:val="en-US" w:eastAsia="zh-CN"/>
        </w:rPr>
      </w:pPr>
      <w:r>
        <w:rPr>
          <w:rFonts w:hint="eastAsia"/>
          <w:lang w:val="en-US" w:eastAsia="zh-CN"/>
        </w:rPr>
        <w:t>截至2022年底，我国民主党派成员人数达138.5万，广泛分布于教育、科学技术、医疗卫生、文艺出版、企事业机关、新的社会阶层以及其他界别，涵盖了大部分行业和职业，大部分为中高级知识分子及社会中上层人士。党派成员发挥智力优势和专业特长，针对社会公共问题有意识地深入调研，汇集分析舆情，发现隐藏在问题表象后的深层次原因，提出解决问题的意见建议，通过课题调研报告、政协提案、社情民意信息、呈阅件等载体，以政治协商和参政议政的形式，提交党委和政府。社会公共问题受到决策者关注，产生对公共政策的需求，社会公共问题进一步成为公共政策问题，正式进入政治系统中。</w:t>
      </w:r>
    </w:p>
    <w:p w14:paraId="05D11D19">
      <w:pPr>
        <w:pStyle w:val="26"/>
        <w:bidi w:val="0"/>
        <w:jc w:val="center"/>
        <w:rPr>
          <w:rFonts w:hint="eastAsia"/>
          <w:b/>
          <w:bCs/>
          <w:lang w:val="en-US" w:eastAsia="zh-CN"/>
        </w:rPr>
      </w:pPr>
      <w:r>
        <w:rPr>
          <w:rFonts w:hint="eastAsia"/>
          <w:b/>
          <w:bCs/>
          <w:lang w:val="en-US" w:eastAsia="zh-CN"/>
        </w:rPr>
        <w:t>参与各类协商，影响公共政策制定</w:t>
      </w:r>
    </w:p>
    <w:p w14:paraId="7841A163">
      <w:pPr>
        <w:pStyle w:val="26"/>
        <w:bidi w:val="0"/>
        <w:rPr>
          <w:rFonts w:hint="eastAsia"/>
          <w:lang w:val="en-US" w:eastAsia="zh-CN"/>
        </w:rPr>
      </w:pPr>
      <w:r>
        <w:rPr>
          <w:rFonts w:hint="eastAsia"/>
          <w:lang w:val="en-US" w:eastAsia="zh-CN"/>
        </w:rPr>
        <w:t>在公共政策的制定过程中，民主党派通过各种协商渠道，发挥政策建议者和决策参与者的作用。民主党派以“一个参加、三个参与”作为参政的基本点，在党和国家重大方针政策和重大事务决策之前和实施之中，参与党委协商，发表对相关政策的意见建议。同时，各级政府及政府部门以对口联系等各种形式加强与党派的常态化和制度化联系，听取党派对其主要工作和重大政策的意见建议。此外，民主党派成员在法律和制度保障下，可以在国家权力机关依法履职，或在政府和司法机关中担任领导职务，能够直接参与公共决策的制定。</w:t>
      </w:r>
    </w:p>
    <w:p w14:paraId="06A37409">
      <w:pPr>
        <w:pStyle w:val="26"/>
        <w:bidi w:val="0"/>
        <w:jc w:val="center"/>
        <w:rPr>
          <w:rFonts w:hint="eastAsia"/>
          <w:b/>
          <w:bCs/>
          <w:lang w:val="en-US" w:eastAsia="zh-CN"/>
        </w:rPr>
      </w:pPr>
      <w:r>
        <w:rPr>
          <w:rFonts w:hint="eastAsia"/>
          <w:b/>
          <w:bCs/>
          <w:lang w:val="en-US" w:eastAsia="zh-CN"/>
        </w:rPr>
        <w:t>实施政策评估，提高公共政策绩效</w:t>
      </w:r>
    </w:p>
    <w:p w14:paraId="4645DF68">
      <w:pPr>
        <w:pStyle w:val="26"/>
        <w:bidi w:val="0"/>
        <w:rPr>
          <w:rFonts w:hint="eastAsia"/>
          <w:lang w:val="en-US" w:eastAsia="zh-CN"/>
        </w:rPr>
      </w:pPr>
      <w:r>
        <w:rPr>
          <w:rFonts w:hint="eastAsia"/>
          <w:lang w:val="en-US" w:eastAsia="zh-CN"/>
        </w:rPr>
        <w:t>政策评估是利用科学的方法和技术，依据一定的价值标准和事实标准，通过一定的程序和步骤，对政策实施中的价值因素和事实因素进行分析，对政策的未来走向作出基本判断，从而调整、修正政策和制定新的政策。现阶段，民主党派参与政策评估主要通过提案、议案、各类协商发言、反映社情民意信息等方式进行，民主党派通过对公共政策方案、执行情况、政策效果等进行调查与分析，以书面或者口头的形式，对公共政策的调整、修正、延续或者终止提出意见建议。通过这些渠道提高公共政策绩效，推动政策过程的科学化和民主化，实现政策资源的有效配置。</w:t>
      </w:r>
    </w:p>
    <w:p w14:paraId="733E012A">
      <w:pPr>
        <w:pStyle w:val="26"/>
        <w:bidi w:val="0"/>
        <w:jc w:val="center"/>
        <w:rPr>
          <w:rFonts w:hint="eastAsia"/>
          <w:b/>
          <w:bCs/>
          <w:lang w:val="en-US" w:eastAsia="zh-CN"/>
        </w:rPr>
      </w:pPr>
      <w:r>
        <w:rPr>
          <w:rFonts w:hint="eastAsia"/>
          <w:b/>
          <w:bCs/>
          <w:lang w:val="en-US" w:eastAsia="zh-CN"/>
        </w:rPr>
        <w:t>开展民主监督，发挥政策监督效用</w:t>
      </w:r>
    </w:p>
    <w:p w14:paraId="101D4145">
      <w:pPr>
        <w:pStyle w:val="26"/>
        <w:bidi w:val="0"/>
        <w:rPr>
          <w:rFonts w:hint="eastAsia"/>
          <w:lang w:val="en-US" w:eastAsia="zh-CN"/>
        </w:rPr>
      </w:pPr>
      <w:r>
        <w:rPr>
          <w:rFonts w:hint="eastAsia"/>
          <w:lang w:val="en-US" w:eastAsia="zh-CN"/>
        </w:rPr>
        <w:t>政策监督是对政策执行绩效的考核和效果的评估。民主党派的民主监督作为社会主义监督体系中重要组成部分，是在宪法和法律赋权之下行使的政治权力结构内部的监督，是权利性质的柔性监督。民主党派可以通过政协组织进行监督，可以通过对话执政党以及国家机关“直通”监督，还可以表现为成员以个人身份履行特约人员监督。监督对象包括政策本身以及政策执行者，监督形式主要是提出意见、批评、建议，通过这些渠道监督政府提高行政效率，改进工作方式方法，改善工作作风，实现政策科学化和民主化。</w:t>
      </w:r>
    </w:p>
    <w:p w14:paraId="1ECD81E7">
      <w:pPr>
        <w:pStyle w:val="26"/>
        <w:bidi w:val="0"/>
        <w:rPr>
          <w:rFonts w:hint="eastAsia"/>
          <w:lang w:val="en-US" w:eastAsia="zh-CN"/>
        </w:rPr>
      </w:pPr>
      <w:r>
        <w:rPr>
          <w:rFonts w:hint="eastAsia"/>
          <w:lang w:val="en-US" w:eastAsia="zh-CN"/>
        </w:rPr>
        <w:t>当前，我国已进入中国式现代化建设的新征程，加强协商民主建设，有利于扩大公民有序政治参与、更好实现人民当家作主的权利，有利于促进科学民主决策、推进国家治理体系和治理能力现代化，有利于化解矛盾冲突、促进社会和谐稳定，有利于保持党同人民群众的血肉联系、巩固和扩大党的执政基础，有利于发挥我国政治制度优越性，增强中国特色社会主义道路自信、理论自信、制度自信。民主党派作为中国共产党的“好参谋、好帮手、好同事”，应致力于高素质的中国特色社会主义参政党建设，共同致力于巩固团结和谐的政党关系，以及推动公共政策的科学化、民主化和规范化发展。</w:t>
      </w:r>
    </w:p>
    <w:p w14:paraId="3F1EB513">
      <w:pPr>
        <w:pStyle w:val="26"/>
        <w:bidi w:val="0"/>
        <w:rPr>
          <w:rFonts w:hint="eastAsia"/>
          <w:lang w:val="en-US" w:eastAsia="zh-CN"/>
        </w:rPr>
      </w:pPr>
      <w:r>
        <w:rPr>
          <w:rFonts w:hint="eastAsia"/>
          <w:b/>
          <w:bCs/>
          <w:lang w:val="en-US" w:eastAsia="zh-CN"/>
        </w:rPr>
        <w:t>建立完善健全、体系流通的政策环境。</w:t>
      </w:r>
      <w:r>
        <w:rPr>
          <w:rFonts w:hint="eastAsia"/>
          <w:lang w:val="en-US" w:eastAsia="zh-CN"/>
        </w:rPr>
        <w:t>进一步梳理协商民主各项政策，对协商参加对象、协商渠道、协商过程、协商保障等内容予以确认和保障，明确民主党派通过多渠道参与公共政策的权利。对多党合作和政治协商制度进行细化和落地化、程序化，保证政党协商和民主监督的法定路径，避免民主协商在中央和地方、基层出现冷热不均的状况。加强政党协商、人大协商、政府协商、政协协商、人民团体协商、基层协商、社会组织协商这七类协商渠道间的协调配合，充分发挥人民政协协调关系的作用，使民主党派能够与其他社会力量汇聚合力，更好地在公共政策过程中发挥建议、咨询、监督等作用。</w:t>
      </w:r>
    </w:p>
    <w:p w14:paraId="7F2670FA">
      <w:pPr>
        <w:pStyle w:val="26"/>
        <w:bidi w:val="0"/>
        <w:rPr>
          <w:rFonts w:hint="eastAsia"/>
          <w:lang w:val="en-US" w:eastAsia="zh-CN"/>
        </w:rPr>
      </w:pPr>
      <w:r>
        <w:rPr>
          <w:rFonts w:hint="eastAsia"/>
          <w:b/>
          <w:bCs/>
          <w:lang w:val="en-US" w:eastAsia="zh-CN"/>
        </w:rPr>
        <w:t>构建程序合理、环节完整的参与机制。</w:t>
      </w:r>
      <w:r>
        <w:rPr>
          <w:rFonts w:hint="eastAsia"/>
          <w:lang w:val="en-US" w:eastAsia="zh-CN"/>
        </w:rPr>
        <w:t>完善民主党派参与公共政策全过程管理，关注政策终结环节的民主参与，对民主党派开展政策评估及建议政策终结等活动进行制度化、程序化、常态化安排，使公共政策全程置于民主视野中，向民主党派开放。完善信息公开、参政资政反馈和督办、参政绩效考核等具体工作机制。建立健全资政意见采纳反馈机制和政策成果转化督办机制，更好地调动民主党派参政议政积极性。建立科学有效的公共政策绩效考核机制，使民主党派参与政策过程的行为、进程和成效等工作过程有章可循。</w:t>
      </w:r>
    </w:p>
    <w:p w14:paraId="2D54E5A6">
      <w:pPr>
        <w:pStyle w:val="26"/>
        <w:bidi w:val="0"/>
        <w:rPr>
          <w:rFonts w:hint="eastAsia"/>
          <w:lang w:val="en-US" w:eastAsia="zh-CN"/>
        </w:rPr>
      </w:pPr>
      <w:r>
        <w:rPr>
          <w:rFonts w:hint="eastAsia"/>
          <w:b/>
          <w:bCs/>
          <w:lang w:val="en-US" w:eastAsia="zh-CN"/>
        </w:rPr>
        <w:t>培育重视协商、发扬民主的社会氛围。</w:t>
      </w:r>
      <w:r>
        <w:rPr>
          <w:rFonts w:hint="eastAsia"/>
          <w:lang w:val="en-US" w:eastAsia="zh-CN"/>
        </w:rPr>
        <w:t>在全社会尤其是党委、政府等部门开展广泛深入的协商文化建设，明晰协商民主相关理念、知识、素养，培育尊重协商、重视民主、积极沟通、理性交流的和谐政治氛围，增强党政部门领导的协商民主意识，注重发挥民主党派成员的主动性、积极性和创造性，支持民主党派以参政议政、民主监督和政治协商的方式参与公共政策。支持民主党派建立一支政治素质高、代表性强、数量适宜、年龄分布合理、知识结构适当、能够充分体现党派特色的代表人士队伍。灵活采用挂职、轮岗、交流等形式，为民主党派成员成长提供更多机会，实现人尽其才，协助党派做好后备干部队伍建设，提高民主党派人才队伍建设水平，推动民主党派参与公共政策制定的专业化与科学化。加强民主党派内部与各民主党派之间的协调与合作，构筑高效开放的工作平台与合作机制。</w:t>
      </w:r>
    </w:p>
    <w:p w14:paraId="1B64F182">
      <w:pPr>
        <w:pStyle w:val="26"/>
        <w:bidi w:val="0"/>
        <w:rPr>
          <w:rFonts w:hint="eastAsia"/>
          <w:lang w:val="en-US" w:eastAsia="zh-CN"/>
        </w:rPr>
      </w:pPr>
      <w:r>
        <w:rPr>
          <w:rFonts w:hint="eastAsia"/>
          <w:b/>
          <w:bCs/>
          <w:lang w:val="en-US" w:eastAsia="zh-CN"/>
        </w:rPr>
        <w:t>建设政治合格、本领过硬的参政党。</w:t>
      </w:r>
      <w:r>
        <w:rPr>
          <w:rFonts w:hint="eastAsia"/>
          <w:lang w:val="en-US" w:eastAsia="zh-CN"/>
        </w:rPr>
        <w:t>民主党派要增强“中国共产党的好参谋、好帮手、好同事”的责任与担当，深刻领会“两个确立”的决定性意义，不断增强“四个意识”，坚定“四个自信”，做到“两个维护”，凝聚思想共识，夯实多党合作的共同思想政治基础。以加强基层组织履行职能建设为基点，强化基层活动政党特色，提高成员的积极性和主动性，提高民主党派参与公共政策过程的科学性和有效性。各民主党派应根据自身界别特点和人才优势，在成员发展中体现质量要求，以特色作为民主党派存在和发展的重要依据，以增强履职建言中的界别优势。明晰民主党派政治功能的界别特色，集中党派在某一领域的人才和智力优势，在履行参政职能、参与公共政策过程时对相关问题进行长期性、持续性地深入探讨和研究，提出具有针对性、专业性和可操作性的意见建议，更好地履行参政党职能。</w:t>
      </w:r>
    </w:p>
    <w:p w14:paraId="6C742882">
      <w:pPr>
        <w:pStyle w:val="28"/>
        <w:bidi w:val="0"/>
        <w:rPr>
          <w:rFonts w:hint="eastAsia"/>
          <w:lang w:val="en-US" w:eastAsia="zh-CN"/>
        </w:rPr>
      </w:pPr>
      <w:r>
        <w:rPr>
          <w:rFonts w:hint="eastAsia"/>
          <w:lang w:val="en-US" w:eastAsia="zh-CN"/>
        </w:rPr>
        <w:t>（作者系致公党厦门市委会宣调处三级调研员）</w:t>
      </w:r>
    </w:p>
    <w:p w14:paraId="41B809E0">
      <w:pPr>
        <w:pStyle w:val="28"/>
        <w:bidi w:val="0"/>
        <w:jc w:val="left"/>
        <w:rPr>
          <w:rFonts w:hint="eastAsia"/>
          <w:lang w:val="en-US" w:eastAsia="zh-CN"/>
        </w:rPr>
      </w:pPr>
    </w:p>
    <w:p w14:paraId="4F4C1800">
      <w:pPr>
        <w:pStyle w:val="2"/>
        <w:spacing w:afterLines="0" w:line="360" w:lineRule="auto"/>
        <w:rPr>
          <w:rFonts w:hint="eastAsia" w:eastAsia="宋体" w:asciiTheme="minorHAnsi" w:hAnsiTheme="minorHAnsi" w:cstheme="minorBidi"/>
          <w:b/>
          <w:color w:val="000000" w:themeColor="text1"/>
          <w:kern w:val="2"/>
          <w:sz w:val="32"/>
          <w:szCs w:val="22"/>
          <w:lang w:val="en-US" w:eastAsia="zh-CN" w:bidi="ar-SA"/>
        </w:rPr>
      </w:pPr>
      <w:r>
        <w:rPr>
          <w:rFonts w:hint="eastAsia"/>
          <w:b/>
          <w:highlight w:val="yellow"/>
          <w:lang w:eastAsia="zh-CN"/>
        </w:rPr>
        <w:t>提案故事</w:t>
      </w:r>
    </w:p>
    <w:p w14:paraId="274308A5">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建言完善保障性住房建设</w:t>
      </w:r>
    </w:p>
    <w:p w14:paraId="081E5EA7">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助力新就业创业青年人实现“安居梦”</w:t>
      </w:r>
    </w:p>
    <w:p w14:paraId="0F14EFED">
      <w:pPr>
        <w:pStyle w:val="28"/>
        <w:bidi w:val="0"/>
        <w:jc w:val="center"/>
        <w:rPr>
          <w:rFonts w:hint="eastAsia" w:ascii="Calibri" w:hAnsi="Times New Roman" w:eastAsia="宋体" w:cs="Times New Roman"/>
          <w:b w:val="0"/>
          <w:color w:val="000000" w:themeColor="text1"/>
          <w:kern w:val="2"/>
          <w:sz w:val="28"/>
          <w:szCs w:val="20"/>
          <w:lang w:val="en-US" w:eastAsia="zh-CN" w:bidi="ar-SA"/>
        </w:rPr>
      </w:pPr>
      <w:r>
        <w:rPr>
          <w:rFonts w:hint="eastAsia" w:ascii="Calibri" w:hAnsi="Times New Roman" w:eastAsia="宋体" w:cs="Times New Roman"/>
          <w:b w:val="0"/>
          <w:color w:val="000000" w:themeColor="text1"/>
          <w:kern w:val="2"/>
          <w:sz w:val="28"/>
          <w:szCs w:val="20"/>
          <w:lang w:val="en-US" w:eastAsia="zh-CN" w:bidi="ar-SA"/>
        </w:rPr>
        <w:t>农工党厦门市委员会</w:t>
      </w:r>
    </w:p>
    <w:p w14:paraId="242D27C9">
      <w:pPr>
        <w:pStyle w:val="26"/>
        <w:bidi w:val="0"/>
        <w:rPr>
          <w:rFonts w:hint="eastAsia"/>
          <w:lang w:val="en-US" w:eastAsia="zh-CN"/>
        </w:rPr>
      </w:pPr>
      <w:r>
        <w:rPr>
          <w:rFonts w:hint="eastAsia"/>
          <w:lang w:val="en-US" w:eastAsia="zh-CN"/>
        </w:rPr>
        <w:t>住房问题是民生问题也是发展问题，事关厦门“两高两化”城市建设。农工党厦门市委员会坚持把“民生关切”作为履职重点，持续关注保障性住房建设发展，2021年提交提案《关于我市加快租赁住房有效供给的建议》。2022年提交提案《关于完善厦门市保障性住房现政策的建议》，提出要适时调整保障房申请及管理标准、加强保障性住房需求调研、完善保障性住房配套设施、增加保障性住房建设用地，推动岛内外协调发展、强化政策衔接，该提案被遴选为市政协2022年度重点提案，并获评市政协2022年度优秀提案。</w:t>
      </w:r>
    </w:p>
    <w:p w14:paraId="437350FE">
      <w:pPr>
        <w:pStyle w:val="26"/>
        <w:bidi w:val="0"/>
        <w:jc w:val="center"/>
        <w:rPr>
          <w:rFonts w:hint="eastAsia"/>
          <w:b/>
          <w:bCs/>
          <w:lang w:val="en-US" w:eastAsia="zh-CN"/>
        </w:rPr>
      </w:pPr>
      <w:r>
        <w:rPr>
          <w:rFonts w:hint="eastAsia"/>
          <w:b/>
          <w:bCs/>
          <w:lang w:val="en-US" w:eastAsia="zh-CN"/>
        </w:rPr>
        <w:t>积极呼应</w:t>
      </w:r>
    </w:p>
    <w:p w14:paraId="1E55DBC2">
      <w:pPr>
        <w:pStyle w:val="26"/>
        <w:bidi w:val="0"/>
        <w:rPr>
          <w:rFonts w:hint="eastAsia"/>
          <w:lang w:val="en-US" w:eastAsia="zh-CN"/>
        </w:rPr>
      </w:pPr>
      <w:r>
        <w:rPr>
          <w:rFonts w:hint="eastAsia"/>
          <w:lang w:val="en-US" w:eastAsia="zh-CN"/>
        </w:rPr>
        <w:t>安居是新市民、青年人立足城市的根本保障，数据显示，目前大城市有70%的新市民和青年人是靠租房来解决住的问题，买不起房和租不好房是他们融入城市的现实困难。为此，厦门市不断完善高层次人才、骨干人才、“三高”企业骨干员工、来厦稳定就业新市民等各类人才的住房保障政策，把发展面向住房困难新市民、青年人群体租赁的保障性租赁住房作为重中之重。随着户籍新政的施行，促进全日制普通高校毕业生、技工院校毕业生、企业骨干员工落户厦门，厦门的住房保障体系如何创新突破，让更多老百姓共享发展成果？</w:t>
      </w:r>
    </w:p>
    <w:p w14:paraId="5DF896A8">
      <w:pPr>
        <w:pStyle w:val="26"/>
        <w:bidi w:val="0"/>
        <w:jc w:val="center"/>
        <w:rPr>
          <w:rFonts w:hint="eastAsia"/>
          <w:b/>
          <w:bCs/>
          <w:lang w:val="en-US" w:eastAsia="zh-CN"/>
        </w:rPr>
      </w:pPr>
      <w:r>
        <w:rPr>
          <w:rFonts w:hint="eastAsia"/>
          <w:b/>
          <w:bCs/>
          <w:lang w:val="en-US" w:eastAsia="zh-CN"/>
        </w:rPr>
        <w:t>直面难题</w:t>
      </w:r>
    </w:p>
    <w:p w14:paraId="1B0699F7">
      <w:pPr>
        <w:pStyle w:val="26"/>
        <w:bidi w:val="0"/>
        <w:rPr>
          <w:rFonts w:hint="eastAsia"/>
          <w:lang w:val="en-US" w:eastAsia="zh-CN"/>
        </w:rPr>
      </w:pPr>
      <w:r>
        <w:rPr>
          <w:rFonts w:hint="eastAsia"/>
          <w:lang w:val="en-US" w:eastAsia="zh-CN"/>
        </w:rPr>
        <w:t>为提出更有针对性的对策建议，农工党厦门市委员会成立“完善我市保障性租赁房以及保障性住房相关政策研究”重点课题组，多次到市政府相关单位调研，就保障性租赁房、保障性住房建设供给计划、政策规定、现状及存在问题沟通交流，围绕保障性住房覆盖率、住房结构、住房管理制度进行了深入探讨。</w:t>
      </w:r>
    </w:p>
    <w:p w14:paraId="08F96820">
      <w:pPr>
        <w:pStyle w:val="26"/>
        <w:bidi w:val="0"/>
        <w:rPr>
          <w:rFonts w:hint="eastAsia"/>
          <w:lang w:val="en-US" w:eastAsia="zh-CN"/>
        </w:rPr>
      </w:pPr>
      <w:r>
        <w:rPr>
          <w:rFonts w:hint="eastAsia"/>
          <w:lang w:val="en-US" w:eastAsia="zh-CN"/>
        </w:rPr>
        <w:t>市政协加大重点提案督办力度，汇聚各方力量推动提案意见建议落地见效。2022年5月20日，市政协召开重点提案督办调研及办前沟通会，市政府、市政协领导、提案人以及提案办理单位一同前往翔安区洋唐居住区实地调研，并深入交流，推动提案意见建议落实转化。</w:t>
      </w:r>
    </w:p>
    <w:p w14:paraId="665D5503">
      <w:pPr>
        <w:pStyle w:val="26"/>
        <w:bidi w:val="0"/>
        <w:jc w:val="center"/>
        <w:rPr>
          <w:rFonts w:hint="eastAsia"/>
          <w:b/>
          <w:bCs/>
          <w:lang w:val="en-US" w:eastAsia="zh-CN"/>
        </w:rPr>
      </w:pPr>
      <w:r>
        <w:rPr>
          <w:rFonts w:hint="eastAsia"/>
          <w:b/>
          <w:bCs/>
          <w:lang w:val="en-US" w:eastAsia="zh-CN"/>
        </w:rPr>
        <w:t>多措并举</w:t>
      </w:r>
    </w:p>
    <w:p w14:paraId="57BA5C6E">
      <w:pPr>
        <w:pStyle w:val="26"/>
        <w:bidi w:val="0"/>
        <w:rPr>
          <w:rFonts w:hint="eastAsia"/>
          <w:lang w:val="en-US" w:eastAsia="zh-CN"/>
        </w:rPr>
      </w:pPr>
      <w:r>
        <w:rPr>
          <w:rFonts w:hint="eastAsia"/>
          <w:lang w:val="en-US" w:eastAsia="zh-CN"/>
        </w:rPr>
        <w:t>相关单位积极配合，以群众期盼为导向，推进厦门市保障性住房政策体系逐步完善：调整保障性住房申请及管理标准，结合新就业大学生等新市民来厦的租住需求及我市住房租赁市场的实际情况，出台《加大新就业大学生等青年群体租赁住房保障工作若干意见》，面向2021年1月1日后新来厦就业创业大学生提供不限户籍、不限应届往届的“5年5折租房”优惠政策；修订《厦门市保障性商品房管理办法》，给予各区更大的自主权，扩大保障覆盖范围，提高户型面积标准，增加鼓励生育和吸引人才的措施；完善规划政策，健全教育设施、基本公共卫生服务配套；增加保障性住房建设用地，推动岛内外协调发展，加大财政投入，加快项目建设；强化政策衔接，启动保障性租赁房房型调整或互换，建立全市统一的保障性租赁房房源互换平台，推进规范化管理。</w:t>
      </w:r>
    </w:p>
    <w:p w14:paraId="5116821A">
      <w:pPr>
        <w:pStyle w:val="26"/>
        <w:bidi w:val="0"/>
        <w:rPr>
          <w:rFonts w:hint="eastAsia"/>
          <w:lang w:val="en-US" w:eastAsia="zh-CN"/>
        </w:rPr>
      </w:pPr>
      <w:r>
        <w:rPr>
          <w:rFonts w:hint="eastAsia"/>
          <w:lang w:val="en-US" w:eastAsia="zh-CN"/>
        </w:rPr>
        <w:t>截至2023年12月，已发放“5年5折租房”租金补贴8个批次、4.06亿元，为5.3万名（11.3万人次）新来厦就业创业大学生提供租房保障，社会反响良好。</w:t>
      </w:r>
    </w:p>
    <w:p w14:paraId="252600E1">
      <w:pPr>
        <w:pStyle w:val="13"/>
        <w:rPr>
          <w:rFonts w:hint="eastAsia"/>
          <w:lang w:val="en-US" w:eastAsia="zh-CN"/>
        </w:rPr>
      </w:pPr>
    </w:p>
    <w:p w14:paraId="66F4874E">
      <w:pPr>
        <w:pStyle w:val="13"/>
        <w:rPr>
          <w:rFonts w:hint="eastAsia"/>
          <w:lang w:val="zh-CN" w:eastAsia="zh-CN"/>
        </w:rPr>
      </w:pPr>
    </w:p>
    <w:p w14:paraId="5D8A72DF">
      <w:pPr>
        <w:pStyle w:val="13"/>
        <w:jc w:val="center"/>
        <w:rPr>
          <w:rFonts w:hint="eastAsia" w:eastAsia="宋体" w:asciiTheme="minorHAnsi" w:hAnsiTheme="minorHAnsi" w:cstheme="minorBidi"/>
          <w:b/>
          <w:color w:val="000000" w:themeColor="text1"/>
          <w:kern w:val="2"/>
          <w:sz w:val="32"/>
          <w:szCs w:val="22"/>
          <w:lang w:val="zh-CN" w:eastAsia="zh-CN" w:bidi="ar-SA"/>
        </w:rPr>
      </w:pPr>
      <w:r>
        <w:rPr>
          <w:rFonts w:hint="eastAsia" w:eastAsia="宋体" w:asciiTheme="minorHAnsi" w:hAnsiTheme="minorHAnsi" w:cstheme="minorBidi"/>
          <w:b/>
          <w:color w:val="000000" w:themeColor="text1"/>
          <w:kern w:val="2"/>
          <w:sz w:val="32"/>
          <w:szCs w:val="22"/>
          <w:lang w:val="zh-CN" w:eastAsia="zh-CN" w:bidi="ar-SA"/>
        </w:rPr>
        <w:t>深入调研出“金点子”</w:t>
      </w:r>
    </w:p>
    <w:p w14:paraId="3EC18E6C">
      <w:pPr>
        <w:pStyle w:val="13"/>
        <w:jc w:val="center"/>
        <w:rPr>
          <w:rFonts w:hint="eastAsia" w:eastAsia="宋体" w:asciiTheme="minorHAnsi" w:hAnsiTheme="minorHAnsi" w:cstheme="minorBidi"/>
          <w:b/>
          <w:color w:val="000000" w:themeColor="text1"/>
          <w:kern w:val="2"/>
          <w:sz w:val="32"/>
          <w:szCs w:val="22"/>
          <w:lang w:val="zh-CN" w:eastAsia="zh-CN" w:bidi="ar-SA"/>
        </w:rPr>
      </w:pPr>
      <w:r>
        <w:rPr>
          <w:rFonts w:hint="eastAsia" w:eastAsia="宋体" w:asciiTheme="minorHAnsi" w:hAnsiTheme="minorHAnsi" w:cstheme="minorBidi"/>
          <w:b/>
          <w:color w:val="000000" w:themeColor="text1"/>
          <w:kern w:val="2"/>
          <w:sz w:val="32"/>
          <w:szCs w:val="22"/>
          <w:lang w:val="zh-CN" w:eastAsia="zh-CN" w:bidi="ar-SA"/>
        </w:rPr>
        <w:t>推动稀土产业高质量发展</w:t>
      </w:r>
    </w:p>
    <w:p w14:paraId="77C1E7B0">
      <w:pPr>
        <w:pStyle w:val="26"/>
        <w:bidi w:val="0"/>
        <w:jc w:val="center"/>
        <w:rPr>
          <w:rFonts w:hint="eastAsia"/>
          <w:lang w:val="zh-CN" w:eastAsia="zh-CN"/>
        </w:rPr>
      </w:pPr>
      <w:r>
        <w:rPr>
          <w:rFonts w:hint="eastAsia"/>
          <w:lang w:val="zh-CN" w:eastAsia="zh-CN"/>
        </w:rPr>
        <w:t>九三学社厦门市委员会</w:t>
      </w:r>
    </w:p>
    <w:p w14:paraId="5B91FA31">
      <w:pPr>
        <w:pStyle w:val="26"/>
        <w:bidi w:val="0"/>
        <w:rPr>
          <w:rFonts w:hint="eastAsia"/>
          <w:lang w:val="zh-CN" w:eastAsia="zh-CN"/>
        </w:rPr>
      </w:pPr>
      <w:r>
        <w:rPr>
          <w:rFonts w:hint="eastAsia"/>
          <w:lang w:val="zh-CN" w:eastAsia="zh-CN"/>
        </w:rPr>
        <w:t>2024年1月10日，在市政协十四届三次会议开幕式上，九三学社厦门市委员会提交的《增加科技有效供给，推动厦门稀土产业高质量发展》的提案获评市政协2023年度优秀提案，九三学社中央科技专门委员会委员、中国科学院海西研究院厦门稀土材料研究中心技术支撑中心主任宋立军，同时也是该提案的主笔人，既激动又有点意外，他没想到一件提案能产生这么大的反响。</w:t>
      </w:r>
    </w:p>
    <w:p w14:paraId="3B74764D">
      <w:pPr>
        <w:pStyle w:val="26"/>
        <w:bidi w:val="0"/>
        <w:jc w:val="center"/>
        <w:rPr>
          <w:rFonts w:hint="eastAsia"/>
          <w:b/>
          <w:bCs/>
          <w:lang w:val="zh-CN" w:eastAsia="zh-CN"/>
        </w:rPr>
      </w:pPr>
      <w:r>
        <w:rPr>
          <w:rFonts w:hint="eastAsia"/>
          <w:b/>
          <w:bCs/>
          <w:lang w:val="zh-CN" w:eastAsia="zh-CN"/>
        </w:rPr>
        <w:t>专家归国 为圆强国梦</w:t>
      </w:r>
    </w:p>
    <w:p w14:paraId="7E7FAE7A">
      <w:pPr>
        <w:pStyle w:val="26"/>
        <w:bidi w:val="0"/>
        <w:rPr>
          <w:rFonts w:hint="eastAsia"/>
          <w:lang w:val="zh-CN" w:eastAsia="zh-CN"/>
        </w:rPr>
      </w:pPr>
      <w:r>
        <w:rPr>
          <w:rFonts w:hint="eastAsia"/>
          <w:lang w:val="zh-CN" w:eastAsia="zh-CN"/>
        </w:rPr>
        <w:t>2013年3月，带着把中国从稀土资源强国建成稀土科技强国的梦想，宋立军从日本回国，走进了位于厦门市集美区杏林湾路的“中国科学院海西研究院厦门稀土材料研究中心”（以下简称“稀土中心”）的大门。这是一家由中国科学院海西研究院、厦门市政府及厦门钨业三方共建，也是中国科学院第一个以稀土为主题的研究机构。</w:t>
      </w:r>
    </w:p>
    <w:p w14:paraId="55680D63">
      <w:pPr>
        <w:pStyle w:val="26"/>
        <w:bidi w:val="0"/>
        <w:rPr>
          <w:rFonts w:hint="eastAsia"/>
          <w:lang w:val="zh-CN" w:eastAsia="zh-CN"/>
        </w:rPr>
      </w:pPr>
      <w:r>
        <w:rPr>
          <w:rFonts w:hint="eastAsia"/>
          <w:lang w:val="zh-CN" w:eastAsia="zh-CN"/>
        </w:rPr>
        <w:t>2022年，宋立军到中国稀土之都包头挂职，第一个任务就是撰写材料分析包头和赣州的科技产业政策。稀土领域国家级科技创新平台包头有7家，已建成自治区级技术中心37家。赣州有国家级科技创新平台4家，省级中心等各类创新平台26个，相比之下，厦门这方面的高层次平台太少了，稀土产业科技创新能力偏弱，科技有效供给还无法快速适应稀土产业高质量发展的需求。宋立军心里沉甸甸的，他有了动笔写提案的想法。</w:t>
      </w:r>
    </w:p>
    <w:p w14:paraId="480CD6AC">
      <w:pPr>
        <w:pStyle w:val="26"/>
        <w:bidi w:val="0"/>
        <w:jc w:val="center"/>
        <w:rPr>
          <w:rFonts w:hint="eastAsia"/>
          <w:b/>
          <w:bCs/>
          <w:lang w:val="zh-CN" w:eastAsia="zh-CN"/>
        </w:rPr>
      </w:pPr>
      <w:r>
        <w:rPr>
          <w:rFonts w:hint="eastAsia"/>
          <w:b/>
          <w:bCs/>
          <w:lang w:val="zh-CN" w:eastAsia="zh-CN"/>
        </w:rPr>
        <w:t>深入调研 提笔谋发展</w:t>
      </w:r>
    </w:p>
    <w:p w14:paraId="174DFBE9">
      <w:pPr>
        <w:pStyle w:val="26"/>
        <w:bidi w:val="0"/>
        <w:rPr>
          <w:rFonts w:hint="eastAsia"/>
          <w:lang w:val="zh-CN" w:eastAsia="zh-CN"/>
        </w:rPr>
      </w:pPr>
      <w:r>
        <w:rPr>
          <w:rFonts w:hint="eastAsia"/>
          <w:lang w:val="zh-CN" w:eastAsia="zh-CN"/>
        </w:rPr>
        <w:t>没有调研就没有发言权。自2022年以来，九三学社厦门市委员会组织相关人员赴赣州调研稀土产业，先后走访了中国科学院赣江创新研究院和中国稀土集团，后又远赴包头，调研包头稀土研究院、白云鄂博稀土资源全国重点实验室及中国科学院包头稀土研发中心等单位，详细了解“稀土王国”和“稀土之都”的科研及产业现状。</w:t>
      </w:r>
    </w:p>
    <w:p w14:paraId="1C570860">
      <w:pPr>
        <w:pStyle w:val="26"/>
        <w:bidi w:val="0"/>
        <w:rPr>
          <w:rFonts w:hint="eastAsia"/>
          <w:lang w:val="zh-CN" w:eastAsia="zh-CN"/>
        </w:rPr>
      </w:pPr>
      <w:r>
        <w:rPr>
          <w:rFonts w:hint="eastAsia"/>
          <w:lang w:val="zh-CN" w:eastAsia="zh-CN"/>
        </w:rPr>
        <w:t>经过多次专题讨论、修改完善，由宋立军主笔，完成《增加科技有效供给，推动厦门稀土产业高质量发展》提案，提出厦门市要利用好区位优势，打造稀土产业，壮大现有光电产业并辐射台湾相关产业。强化政策引导，推动稀土创新平台建设，筑巢引凤。实施稀土新材料企业培育计划，精准推动稀土产业高质量可持续发展。</w:t>
      </w:r>
    </w:p>
    <w:p w14:paraId="077B724F">
      <w:pPr>
        <w:pStyle w:val="26"/>
        <w:bidi w:val="0"/>
        <w:jc w:val="center"/>
        <w:rPr>
          <w:rFonts w:hint="eastAsia"/>
          <w:b/>
          <w:bCs/>
          <w:lang w:val="zh-CN" w:eastAsia="zh-CN"/>
        </w:rPr>
      </w:pPr>
      <w:r>
        <w:rPr>
          <w:rFonts w:hint="eastAsia"/>
          <w:b/>
          <w:bCs/>
          <w:lang w:val="zh-CN" w:eastAsia="zh-CN"/>
        </w:rPr>
        <w:t>多方推动 转化出成果</w:t>
      </w:r>
    </w:p>
    <w:p w14:paraId="74F496A6">
      <w:pPr>
        <w:pStyle w:val="26"/>
        <w:bidi w:val="0"/>
        <w:rPr>
          <w:rFonts w:hint="eastAsia"/>
          <w:lang w:val="zh-CN" w:eastAsia="zh-CN"/>
        </w:rPr>
      </w:pPr>
      <w:r>
        <w:rPr>
          <w:rFonts w:hint="eastAsia"/>
          <w:lang w:val="zh-CN" w:eastAsia="zh-CN"/>
        </w:rPr>
        <w:t>在市政协的推动下，厦门市政府与中国科学院海西研究院签订了新一轮共建合作协议，有针对性地支持稀土中心创新发展，并提出对稀土产业新获批建设的国家重点实验室、国家工程研究中心等国家级创新平台给予专项资助。厦门市连续5年安排专项资金推进稀土行业成果转化、企业培育，整合稀土中心和企业科技与产业资源，建设联合研发平台，生成技术攻关项目，围绕重大科学问题、共性关键技术及重大产品开发需要，推动稀土中心乃至中国科学院相关稀土产业科技成果在厦门转化。</w:t>
      </w:r>
    </w:p>
    <w:p w14:paraId="0D091820">
      <w:pPr>
        <w:pStyle w:val="26"/>
        <w:bidi w:val="0"/>
        <w:rPr>
          <w:rFonts w:hint="eastAsia"/>
          <w:lang w:val="zh-CN" w:eastAsia="zh-CN"/>
        </w:rPr>
      </w:pPr>
      <w:r>
        <w:rPr>
          <w:rFonts w:hint="eastAsia"/>
          <w:lang w:val="zh-CN" w:eastAsia="zh-CN"/>
        </w:rPr>
        <w:t>当提案承办单位市科技局就提案办理工作征询宋立军意见时，他非常满意，认为提案办理结果远超预期。作为一个平凡的科研工作者，宋立军第一次感受到政治协商的重要意义，表示将继续为新兴产业的发展鼓与呼。</w:t>
      </w:r>
    </w:p>
    <w:p w14:paraId="4F187FB4">
      <w:pPr>
        <w:pStyle w:val="13"/>
        <w:rPr>
          <w:rFonts w:hint="eastAsia"/>
          <w:lang w:val="zh-CN" w:eastAsia="zh-CN"/>
        </w:rPr>
      </w:pPr>
    </w:p>
    <w:p w14:paraId="04A1A357">
      <w:pPr>
        <w:pStyle w:val="2"/>
        <w:spacing w:afterLines="0" w:line="360" w:lineRule="auto"/>
        <w:rPr>
          <w:rFonts w:hint="eastAsia"/>
          <w:b/>
          <w:highlight w:val="yellow"/>
          <w:lang w:eastAsia="zh-CN"/>
        </w:rPr>
      </w:pPr>
      <w:r>
        <w:rPr>
          <w:rFonts w:hint="eastAsia"/>
          <w:b/>
          <w:highlight w:val="yellow"/>
          <w:lang w:eastAsia="zh-CN"/>
        </w:rPr>
        <w:t>建言献策</w:t>
      </w:r>
    </w:p>
    <w:p w14:paraId="71E19CCC">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加快DeepSeek等AI大模型在福建政务领域部署运用</w:t>
      </w:r>
    </w:p>
    <w:p w14:paraId="5EDA2E6D">
      <w:pPr>
        <w:pStyle w:val="26"/>
        <w:bidi w:val="0"/>
        <w:jc w:val="center"/>
        <w:rPr>
          <w:rFonts w:hint="eastAsia"/>
          <w:lang w:val="en-US" w:eastAsia="zh-CN"/>
        </w:rPr>
      </w:pPr>
      <w:r>
        <w:rPr>
          <w:rFonts w:hint="eastAsia"/>
          <w:lang w:val="en-US" w:eastAsia="zh-CN"/>
        </w:rPr>
        <w:t>李瑞盛   张林雄</w:t>
      </w:r>
    </w:p>
    <w:p w14:paraId="60C979A8">
      <w:pPr>
        <w:pStyle w:val="28"/>
        <w:bidi w:val="0"/>
        <w:jc w:val="center"/>
        <w:rPr>
          <w:rFonts w:hint="eastAsia" w:eastAsia="宋体" w:asciiTheme="minorHAnsi" w:hAnsiTheme="minorHAnsi" w:cstheme="minorBidi"/>
          <w:b/>
          <w:color w:val="000000" w:themeColor="text1"/>
          <w:kern w:val="2"/>
          <w:sz w:val="32"/>
          <w:szCs w:val="22"/>
          <w:lang w:val="en-US" w:eastAsia="zh-CN" w:bidi="ar-SA"/>
        </w:rPr>
      </w:pPr>
    </w:p>
    <w:p w14:paraId="2A885DA9">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“数字公务员”改革对公共服务体系</w:t>
      </w:r>
    </w:p>
    <w:p w14:paraId="769CB336">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 xml:space="preserve">  影响深刻管理制度框架亟待构建</w:t>
      </w:r>
    </w:p>
    <w:p w14:paraId="67632F10">
      <w:pPr>
        <w:pStyle w:val="26"/>
        <w:bidi w:val="0"/>
        <w:jc w:val="center"/>
        <w:rPr>
          <w:rFonts w:hint="eastAsia"/>
          <w:lang w:val="en-US" w:eastAsia="zh-CN"/>
        </w:rPr>
      </w:pPr>
      <w:r>
        <w:rPr>
          <w:rFonts w:hint="eastAsia"/>
          <w:lang w:val="en-US" w:eastAsia="zh-CN"/>
        </w:rPr>
        <w:t>民建界别活动小组</w:t>
      </w:r>
    </w:p>
    <w:p w14:paraId="0984F603">
      <w:pPr>
        <w:pStyle w:val="28"/>
        <w:bidi w:val="0"/>
        <w:jc w:val="center"/>
        <w:rPr>
          <w:rFonts w:hint="eastAsia" w:eastAsia="宋体" w:asciiTheme="minorHAnsi" w:hAnsiTheme="minorHAnsi" w:cstheme="minorBidi"/>
          <w:b/>
          <w:color w:val="000000" w:themeColor="text1"/>
          <w:kern w:val="2"/>
          <w:sz w:val="32"/>
          <w:szCs w:val="22"/>
          <w:lang w:val="en-US" w:eastAsia="zh-CN" w:bidi="ar-SA"/>
        </w:rPr>
      </w:pPr>
    </w:p>
    <w:p w14:paraId="7404DEF6">
      <w:pPr>
        <w:pStyle w:val="28"/>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法律咨询公司“野蛮生长” 亟待加强监管</w:t>
      </w:r>
    </w:p>
    <w:p w14:paraId="06FC59BA">
      <w:pPr>
        <w:pStyle w:val="26"/>
        <w:bidi w:val="0"/>
        <w:jc w:val="center"/>
        <w:rPr>
          <w:rFonts w:hint="eastAsia"/>
          <w:lang w:val="en-US" w:eastAsia="zh-CN"/>
        </w:rPr>
      </w:pPr>
      <w:r>
        <w:rPr>
          <w:rFonts w:hint="eastAsia"/>
          <w:lang w:val="en-US" w:eastAsia="zh-CN"/>
        </w:rPr>
        <w:t>涂崇禹  熊也</w:t>
      </w:r>
    </w:p>
    <w:p w14:paraId="028A447D">
      <w:pPr>
        <w:pStyle w:val="26"/>
        <w:bidi w:val="0"/>
        <w:rPr>
          <w:rFonts w:hint="eastAsia"/>
          <w:lang w:val="en-US" w:eastAsia="zh-CN"/>
        </w:rPr>
      </w:pPr>
      <w:bookmarkStart w:id="0" w:name="_GoBack"/>
      <w:bookmarkEnd w:id="0"/>
    </w:p>
    <w:p w14:paraId="2D19CD63">
      <w:pPr>
        <w:rPr>
          <w:rFonts w:hint="eastAsia"/>
          <w:b/>
          <w:highlight w:val="yellow"/>
          <w:lang w:eastAsia="zh-CN"/>
        </w:rPr>
      </w:pPr>
    </w:p>
    <w:p w14:paraId="77204DBC">
      <w:pPr>
        <w:pStyle w:val="2"/>
        <w:spacing w:afterLines="0" w:line="360" w:lineRule="auto"/>
        <w:rPr>
          <w:rFonts w:hint="eastAsia" w:eastAsia="黑体"/>
          <w:b/>
          <w:highlight w:val="yellow"/>
          <w:lang w:eastAsia="zh-CN"/>
        </w:rPr>
      </w:pPr>
      <w:r>
        <w:rPr>
          <w:rFonts w:hint="eastAsia"/>
          <w:b/>
          <w:highlight w:val="yellow"/>
          <w:lang w:eastAsia="zh-CN"/>
        </w:rPr>
        <w:t>文苑漫步</w:t>
      </w:r>
    </w:p>
    <w:p w14:paraId="4CE46A38">
      <w:pPr>
        <w:pStyle w:val="26"/>
        <w:bidi w:val="0"/>
        <w:jc w:val="center"/>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漫谈“厦门”</w:t>
      </w:r>
    </w:p>
    <w:p w14:paraId="2249C814">
      <w:pPr>
        <w:pStyle w:val="26"/>
        <w:bidi w:val="0"/>
        <w:jc w:val="center"/>
        <w:rPr>
          <w:rFonts w:hint="eastAsia"/>
          <w:lang w:val="en-US" w:eastAsia="zh-CN"/>
        </w:rPr>
      </w:pPr>
      <w:r>
        <w:rPr>
          <w:rFonts w:hint="eastAsia"/>
          <w:lang w:val="en-US" w:eastAsia="zh-CN"/>
        </w:rPr>
        <w:t>陈章志</w:t>
      </w:r>
    </w:p>
    <w:p w14:paraId="322AFC37">
      <w:pPr>
        <w:pStyle w:val="26"/>
        <w:bidi w:val="0"/>
        <w:rPr>
          <w:rFonts w:hint="eastAsia"/>
          <w:lang w:val="en-US" w:eastAsia="zh-CN"/>
        </w:rPr>
      </w:pPr>
      <w:r>
        <w:rPr>
          <w:rFonts w:hint="eastAsia"/>
          <w:lang w:val="en-US" w:eastAsia="zh-CN"/>
        </w:rPr>
        <w:t>古时，单扇为户、双扇为门。倘若穿越至秦朝，从篆体字去琢磨“門”与“户”形态，甚为直白形象。</w:t>
      </w:r>
    </w:p>
    <w:p w14:paraId="39838D22">
      <w:pPr>
        <w:pStyle w:val="26"/>
        <w:bidi w:val="0"/>
        <w:rPr>
          <w:rFonts w:hint="eastAsia"/>
          <w:lang w:val="en-US" w:eastAsia="zh-CN"/>
        </w:rPr>
      </w:pPr>
      <w:r>
        <w:rPr>
          <w:rFonts w:hint="eastAsia"/>
          <w:lang w:val="en-US" w:eastAsia="zh-CN"/>
        </w:rPr>
        <w:t>话说安徽芜湖段长江两岸，有东梁山、西梁山并称“天门山”，两山夹江对峙，令长江北折而去，引得李白作《望天门山》： 天门中断楚江开，碧水东流至此回。两岸青山相对出，孤帆一片日边来。该处地理形势完全可凭诗句想象。湖南张家界奇观天门山、天门洞，也以立面形态得名。</w:t>
      </w:r>
    </w:p>
    <w:p w14:paraId="5F00D22A">
      <w:pPr>
        <w:pStyle w:val="26"/>
        <w:bidi w:val="0"/>
        <w:rPr>
          <w:rFonts w:hint="eastAsia"/>
          <w:lang w:val="en-US" w:eastAsia="zh-CN"/>
        </w:rPr>
      </w:pPr>
      <w:r>
        <w:rPr>
          <w:rFonts w:hint="eastAsia"/>
          <w:lang w:val="en-US" w:eastAsia="zh-CN"/>
        </w:rPr>
        <w:t>旧时，繁体“門”字，有其“象形”特征，用在江河入海口，“門”的两竖当为江河两岸，“門”框顶端繁复部分，则为岛洲港汊水道。我国珠江口有虎门、澳门、江门、屯门、崖门，九龙江口有海门、金门、厦门，闽江口有五虎门，瓯江口有大门、小门，长江口有海门，必有如此规律。至于近代海防吃紧，引伸出江海门户关口之意，无非字义拓展而已。</w:t>
      </w:r>
    </w:p>
    <w:p w14:paraId="20FFCA1C">
      <w:pPr>
        <w:pStyle w:val="26"/>
        <w:bidi w:val="0"/>
        <w:rPr>
          <w:rFonts w:hint="eastAsia"/>
          <w:lang w:val="en-US" w:eastAsia="zh-CN"/>
        </w:rPr>
      </w:pPr>
      <w:r>
        <w:rPr>
          <w:rFonts w:hint="eastAsia"/>
          <w:lang w:val="en-US" w:eastAsia="zh-CN"/>
        </w:rPr>
        <w:t>但凡关注厦门的历史，明洪武年间筑建所城是无从回避的。《明太祖实录》记录洪武二十七年（公元1394年）二月， “是月，城同安县嘉禾山，置永宁中左千户所”。此处的“城”系筑城；“山”，是元、明对岛屿的普遍名称，恰似当今普陀山一样，泛指普陀岛，并不实指具体的山脉。该处关于永宁卫中左所的实录，说明洪武年间“嘉禾”仍是这座岛屿最通行的地名，其时“厦门”知名度尚小。</w:t>
      </w:r>
    </w:p>
    <w:p w14:paraId="432E6468">
      <w:pPr>
        <w:pStyle w:val="26"/>
        <w:bidi w:val="0"/>
        <w:rPr>
          <w:rFonts w:hint="eastAsia"/>
          <w:lang w:val="en-US" w:eastAsia="zh-CN"/>
        </w:rPr>
      </w:pPr>
      <w:r>
        <w:rPr>
          <w:rFonts w:hint="eastAsia"/>
          <w:lang w:val="en-US" w:eastAsia="zh-CN"/>
        </w:rPr>
        <w:t>地图会说话。明初，嘉禾屿西南海滨，地处九龙江出海口下游，地势也相对低洼，适宜船只停泊补给休整，一度曾命有地名“下门”。中科院图书馆收藏着一张《福建海防图》，在漳州府东边、虎屿（实为“浯屿”）对面海中一岛屿就明确标注“下門港”。该地图收入《舆图指要》一书，已公开出版。明万历《泉州府志 》所附《同安县图》，图中标有“夏门所”，即中左千户所。另一幅地图，名为《浙江福建沿海海防图》，图中有“夏门港”“南普陀”，绘制年份当在施琅收回台湾之后，现收藏于台北故宫博物院。</w:t>
      </w:r>
    </w:p>
    <w:p w14:paraId="027C9D95">
      <w:pPr>
        <w:pStyle w:val="26"/>
        <w:bidi w:val="0"/>
        <w:rPr>
          <w:rFonts w:hint="eastAsia"/>
          <w:lang w:val="en-US" w:eastAsia="zh-CN"/>
        </w:rPr>
      </w:pPr>
      <w:r>
        <w:rPr>
          <w:rFonts w:hint="eastAsia"/>
          <w:lang w:val="en-US" w:eastAsia="zh-CN"/>
        </w:rPr>
        <w:t>关于“夏门”的文字记载，还见于万历《泉州府志》：“同安县寨十有四……西南曰夏门……俱隶中左所”。此外，郑若曾著《筹海图编》，也有“夏门”一名。这两处“夏门”，仍为同安县西南嘉禾屿滨海村落，也是一个烽燧（烽火台）所在地，具军事价值。</w:t>
      </w:r>
    </w:p>
    <w:p w14:paraId="79C2AFEC">
      <w:pPr>
        <w:pStyle w:val="26"/>
        <w:bidi w:val="0"/>
        <w:rPr>
          <w:rFonts w:hint="eastAsia"/>
          <w:lang w:val="en-US" w:eastAsia="zh-CN"/>
        </w:rPr>
      </w:pPr>
      <w:r>
        <w:rPr>
          <w:rFonts w:hint="eastAsia"/>
          <w:lang w:val="en-US" w:eastAsia="zh-CN"/>
        </w:rPr>
        <w:t>在闽南方言里，下游或下方末梢，初时先民经常以“下”“尾”命名，其后出于雅化需要，“下”字经常转化为“霞”， “尾”则多半转化为“美”。这类实例多，如南安、漳浦各有一处“霞美镇”，厦门翔安区“下吴”易名“霞浯”，“浔尾”易名“集美”。只是“厦门”地名雅化非同寻常，“下”没有在闽南语或汉语读音上雅化，只在文字上进行转化，大致有“下——夏——厦”演变特点。</w:t>
      </w:r>
    </w:p>
    <w:p w14:paraId="16B98C5D">
      <w:pPr>
        <w:pStyle w:val="26"/>
        <w:bidi w:val="0"/>
        <w:rPr>
          <w:rFonts w:hint="eastAsia"/>
          <w:lang w:val="en-US" w:eastAsia="zh-CN"/>
        </w:rPr>
      </w:pPr>
      <w:r>
        <w:rPr>
          <w:rFonts w:hint="eastAsia"/>
          <w:lang w:val="en-US" w:eastAsia="zh-CN"/>
        </w:rPr>
        <w:t>明弘治《八闽通志》记载：“中左千户所，在同安县南嘉禾屿厦门海滨”。清乾隆《泉州府志》记载同安县“都里”时，嘉禾里有四个都，其中“二十三都，其地为莲坂、毫灶、吴仓、厦门、中左所、乌石浦、埭头、吕厝等乡”。明初，厦门约略是一个村落，与莲坂、吕厝、乌石埔无异，其范围涵盖当今思明区老城区大部分地域，包括厦港、中华、鹭江三个街道的范围。</w:t>
      </w:r>
    </w:p>
    <w:p w14:paraId="347C26AC">
      <w:pPr>
        <w:pStyle w:val="26"/>
        <w:bidi w:val="0"/>
        <w:rPr>
          <w:rFonts w:hint="eastAsia"/>
          <w:lang w:val="en-US" w:eastAsia="zh-CN"/>
        </w:rPr>
      </w:pPr>
      <w:r>
        <w:rPr>
          <w:rFonts w:hint="eastAsia"/>
          <w:lang w:val="en-US" w:eastAsia="zh-CN"/>
        </w:rPr>
        <w:t>明朝开国施行五军制，通常一座卫城本部设有“前后左中右”五个所，外围还设置若干个所，若没有合适的地名，如崇武、福全，则用中左、中右、中中等予以区分。洪武年间在“厦门村”地界缔造了中左所城，之所以用“中左”命名，其逻辑是弃用“嘉禾”、“厦门”。明朝以“中左所”命名的，不下六处，永宁卫“中左”几乎最为知名，甚至部分明朝舆图只用“中左”代指嘉禾屿。</w:t>
      </w:r>
    </w:p>
    <w:p w14:paraId="6DB5C51B">
      <w:pPr>
        <w:pStyle w:val="26"/>
        <w:bidi w:val="0"/>
        <w:rPr>
          <w:rFonts w:hint="eastAsia"/>
          <w:lang w:val="en-US" w:eastAsia="zh-CN"/>
        </w:rPr>
      </w:pPr>
      <w:r>
        <w:rPr>
          <w:rFonts w:hint="eastAsia"/>
          <w:lang w:val="en-US" w:eastAsia="zh-CN"/>
        </w:rPr>
        <w:t>中左所城及一千二百员额官兵进驻，为“厦门”地名崛起奠定坚实基础。明末，知名地理学家、漳州人张燮著《东西洋考》有“中左所”词条——一名厦门……从前贾舶盘验于此，验毕移驻曾家澳候风开驾。从中可见，中左所是第一名称，“厦门”是替代地名，故有“一名”一说。随着所城与其所在地厦门村、厦门港知名度提升，明末清初“厦门城”取代了“中左所城”，《大明一统志》记载：“厦门城在嘉禾屿，明为中左所城”，算是清楚的阐释。</w:t>
      </w:r>
    </w:p>
    <w:p w14:paraId="751FE5C9">
      <w:pPr>
        <w:pStyle w:val="26"/>
        <w:bidi w:val="0"/>
        <w:rPr>
          <w:rFonts w:hint="eastAsia"/>
          <w:lang w:val="en-US" w:eastAsia="zh-CN"/>
        </w:rPr>
      </w:pPr>
      <w:r>
        <w:rPr>
          <w:rFonts w:hint="eastAsia"/>
          <w:lang w:val="en-US" w:eastAsia="zh-CN"/>
        </w:rPr>
        <w:t>明末清初，这座岛屿多个地名并存，有嘉禾、中左、鹭岛、思明、厦门。地名，有时会蕴含政治主张，尤其郑成功与清军在东南沿海的抗争，导致地名敏感复杂。嘉禾，始于唐朝，是农耕文明的名称，略显陈旧。对于郑成功政权，嘉禾、中左均可使用，思明州尤其受欢迎，该地名得到国姓爷郑成功首肯，意在撑大规格、竖旗招兵。传统以上为尊以下为卑，厦门的“厦”与“下”谐音，对于守势的郑氏政权当有所忌讳。反之，清军则无一例外使用“厦门”，奏书、捷报往往再加上“逆岛”或“逆巢”，简直恨之入骨。而民间文人，则不偏不倚，偏好“鹭岛”“鹭江”等别称，清乾隆年间薛起凤等修志，以《鹭江志》为名，当有其中之义。</w:t>
      </w:r>
    </w:p>
    <w:p w14:paraId="480F7FAD">
      <w:pPr>
        <w:pStyle w:val="26"/>
        <w:bidi w:val="0"/>
        <w:rPr>
          <w:rFonts w:hint="eastAsia"/>
          <w:lang w:val="en-US" w:eastAsia="zh-CN"/>
        </w:rPr>
      </w:pPr>
      <w:r>
        <w:rPr>
          <w:rFonts w:hint="eastAsia"/>
          <w:lang w:val="en-US" w:eastAsia="zh-CN"/>
        </w:rPr>
        <w:t>在平定台湾之后，自康熙二十三年（1684年）起短短数年，清廷相继设置“厦门海关衙署”“分巡台湾厦门兵备道”“厦门海防同知”等官方机构，“厦门”开始成为官定名称，雍正年间“兴泉道”“兴泉永道”等跨府州管理机构也移驻厦门。五口通商，更是让厦门港及其洋名字AMOY漂洋过海。此时的“厦门”，已扩大为“厦门岛”，道光十九年周凯编撰《厦门志》，就是“厦门”地名在文史地理的直观体现。</w:t>
      </w:r>
    </w:p>
    <w:p w14:paraId="0427B82C">
      <w:pPr>
        <w:pStyle w:val="26"/>
        <w:bidi w:val="0"/>
        <w:rPr>
          <w:rFonts w:hint="eastAsia"/>
          <w:lang w:val="en-US" w:eastAsia="zh-CN"/>
        </w:rPr>
      </w:pPr>
      <w:r>
        <w:rPr>
          <w:rFonts w:hint="eastAsia"/>
          <w:lang w:val="en-US" w:eastAsia="zh-CN"/>
        </w:rPr>
        <w:t>平心而论，一处稍具规模的地名，有其发展规律，不大可能一开始就高大上、现代化，一般要经过萌芽、挣扎、成长、雅化、固化等阶段。厦门，也不例外。近代缘于经济飞速发展，厦门早已不局限于一座海岛，涵盖了集美、海沧、同安、翔安，陆地面积1700平方公里。纵观“厦门”地名演变历程，如浓墨之于宣纸不断晕染，从村落——所城——岛屿——城市，一步步蜕变。厦庇五洲客，门纳万顷涛，厦门，六百来年向海而生，历经无数船舶来来往往、无数前人拼搏积淀，让曾经纯朴的“厦门”，逐步变得光鲜亮丽，仿佛太平洋西海岸一颗璀璨的明珠。</w:t>
      </w:r>
    </w:p>
    <w:p w14:paraId="32BD081B">
      <w:pPr>
        <w:pStyle w:val="28"/>
        <w:bidi w:val="0"/>
        <w:rPr>
          <w:rFonts w:hint="eastAsia"/>
          <w:lang w:val="en-US" w:eastAsia="zh-CN"/>
        </w:rPr>
      </w:pPr>
      <w:r>
        <w:rPr>
          <w:rFonts w:hint="eastAsia"/>
          <w:lang w:val="en-US" w:eastAsia="zh-CN"/>
        </w:rPr>
        <w:t>(作者系市政协委员、市文旅局二级巡视员)</w:t>
      </w:r>
    </w:p>
    <w:p w14:paraId="72F288DF">
      <w:pPr>
        <w:pStyle w:val="26"/>
        <w:bidi w:val="0"/>
        <w:rPr>
          <w:rFonts w:hint="eastAsia"/>
          <w:lang w:val="en-US" w:eastAsia="zh-CN"/>
        </w:rPr>
      </w:pPr>
    </w:p>
    <w:p w14:paraId="3AFB4DD3">
      <w:pPr>
        <w:spacing w:before="195" w:line="221" w:lineRule="auto"/>
        <w:ind w:left="730"/>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庆祝厦门市政协成立70周年</w:t>
      </w:r>
    </w:p>
    <w:p w14:paraId="1F093EA3">
      <w:pPr>
        <w:spacing w:before="391" w:line="221" w:lineRule="auto"/>
        <w:ind w:left="730"/>
        <w:rPr>
          <w:rFonts w:hint="eastAsia" w:eastAsia="宋体" w:asciiTheme="minorHAnsi" w:hAnsiTheme="minorHAnsi" w:cstheme="minorBidi"/>
          <w:b/>
          <w:color w:val="000000" w:themeColor="text1"/>
          <w:kern w:val="2"/>
          <w:sz w:val="32"/>
          <w:szCs w:val="22"/>
          <w:lang w:val="en-US" w:eastAsia="zh-CN" w:bidi="ar-SA"/>
        </w:rPr>
      </w:pPr>
      <w:r>
        <w:rPr>
          <w:rFonts w:hint="eastAsia" w:eastAsia="宋体" w:asciiTheme="minorHAnsi" w:hAnsiTheme="minorHAnsi" w:cstheme="minorBidi"/>
          <w:b/>
          <w:color w:val="000000" w:themeColor="text1"/>
          <w:kern w:val="2"/>
          <w:sz w:val="32"/>
          <w:szCs w:val="22"/>
          <w:lang w:val="en-US" w:eastAsia="zh-CN" w:bidi="ar-SA"/>
        </w:rPr>
        <w:t>图文影音作品征集启事</w:t>
      </w:r>
    </w:p>
    <w:p w14:paraId="296F6EBF">
      <w:pPr>
        <w:pStyle w:val="26"/>
        <w:bidi w:val="0"/>
      </w:pPr>
      <w:r>
        <w:t>1955年5月，厦门市政协成立。七十载风雨兼程，在中共厦门市委的领导下，市政协在推动城市发展、深化协商民主实践、团结凝聚各方力量等方面发挥了重要作用。为隆重庆祝这一重要历史时刻，市政协拟举办图文影音作品征集活动，通过文字、漫画、歌曲、短视频等形式记录各民主党派、工商联、人民团体、各界别、政协委员携手共进、参政议政、团结合作的精彩瞬间。</w:t>
      </w:r>
    </w:p>
    <w:p w14:paraId="36A001FA">
      <w:pPr>
        <w:pStyle w:val="26"/>
        <w:bidi w:val="0"/>
        <w:rPr>
          <w:rFonts w:hint="eastAsia"/>
          <w:lang w:val="zh-CN"/>
        </w:rPr>
      </w:pPr>
      <w:r>
        <w:rPr>
          <w:rFonts w:hint="eastAsia"/>
          <w:lang w:val="en-US" w:eastAsia="zh-CN"/>
        </w:rPr>
        <w:t>1、</w:t>
      </w:r>
      <w:r>
        <w:rPr>
          <w:rFonts w:hint="eastAsia"/>
          <w:lang w:val="zh-CN"/>
        </w:rPr>
        <w:t>主题；同心同行七十载凝心聚力谱新篇</w:t>
      </w:r>
    </w:p>
    <w:p w14:paraId="4A27F9CF">
      <w:pPr>
        <w:pStyle w:val="26"/>
        <w:bidi w:val="0"/>
        <w:rPr>
          <w:rFonts w:hint="eastAsia"/>
          <w:lang w:val="zh-CN"/>
        </w:rPr>
      </w:pPr>
      <w:r>
        <w:rPr>
          <w:rFonts w:hint="eastAsia"/>
          <w:lang w:val="en-US" w:eastAsia="zh-CN"/>
        </w:rPr>
        <w:t>2、时间：</w:t>
      </w:r>
      <w:r>
        <w:rPr>
          <w:rFonts w:hint="eastAsia"/>
          <w:lang w:val="zh-CN"/>
        </w:rPr>
        <w:t>即日起至2025年4月底</w:t>
      </w:r>
    </w:p>
    <w:p w14:paraId="681086A9">
      <w:pPr>
        <w:pStyle w:val="26"/>
        <w:bidi w:val="0"/>
        <w:rPr>
          <w:rFonts w:hint="eastAsia"/>
          <w:lang w:val="en-US" w:eastAsia="zh-CN"/>
        </w:rPr>
      </w:pPr>
      <w:r>
        <w:rPr>
          <w:rFonts w:hint="eastAsia"/>
          <w:lang w:val="en-US" w:eastAsia="zh-CN"/>
        </w:rPr>
        <w:t>3、征集对象：</w:t>
      </w:r>
    </w:p>
    <w:p w14:paraId="4C7DA406">
      <w:pPr>
        <w:pStyle w:val="26"/>
        <w:bidi w:val="0"/>
        <w:rPr>
          <w:rFonts w:hint="eastAsia"/>
          <w:lang w:val="zh-CN"/>
        </w:rPr>
      </w:pPr>
      <w:r>
        <w:rPr>
          <w:rFonts w:hint="eastAsia"/>
          <w:lang w:val="zh-CN"/>
        </w:rPr>
        <w:t>历届市、区政协委员，市、区政协组织、市各民主党派、工商联和人民团体，关心支持政协事业的社会各界人士。</w:t>
      </w:r>
    </w:p>
    <w:p w14:paraId="734C131B">
      <w:pPr>
        <w:pStyle w:val="26"/>
        <w:bidi w:val="0"/>
        <w:rPr>
          <w:rFonts w:hint="eastAsia"/>
          <w:lang w:val="en-US" w:eastAsia="zh-CN"/>
        </w:rPr>
      </w:pPr>
      <w:r>
        <w:rPr>
          <w:rFonts w:hint="eastAsia"/>
          <w:lang w:val="en-US" w:eastAsia="zh-CN"/>
        </w:rPr>
        <w:t>4、征集内容</w:t>
      </w:r>
    </w:p>
    <w:p w14:paraId="392266A3">
      <w:pPr>
        <w:pStyle w:val="26"/>
        <w:numPr>
          <w:ilvl w:val="0"/>
          <w:numId w:val="1"/>
        </w:numPr>
        <w:bidi w:val="0"/>
        <w:ind w:left="1265" w:leftChars="0" w:hanging="425" w:firstLineChars="0"/>
        <w:rPr>
          <w:rFonts w:hint="eastAsia"/>
          <w:lang w:val="zh-CN"/>
        </w:rPr>
      </w:pPr>
      <w:r>
        <w:rPr>
          <w:rFonts w:hint="eastAsia"/>
          <w:lang w:val="zh-CN"/>
        </w:rPr>
        <w:t>回顾合作历程：展示历年来开展重要协商、调研的成果，讲述如何凝聚智慧、达成共识。</w:t>
      </w:r>
    </w:p>
    <w:p w14:paraId="2001B8E3">
      <w:pPr>
        <w:pStyle w:val="26"/>
        <w:numPr>
          <w:ilvl w:val="0"/>
          <w:numId w:val="1"/>
        </w:numPr>
        <w:bidi w:val="0"/>
        <w:ind w:left="1265" w:leftChars="0" w:hanging="425" w:firstLineChars="0"/>
        <w:rPr>
          <w:rFonts w:hint="eastAsia"/>
          <w:lang w:val="zh-CN"/>
        </w:rPr>
      </w:pPr>
      <w:r>
        <w:rPr>
          <w:rFonts w:hint="eastAsia"/>
          <w:lang w:val="zh-CN"/>
        </w:rPr>
        <w:t>展现履职风采：呈现各界别、广大政协委员积极建言献策、参与民主监督的工作片段。</w:t>
      </w:r>
    </w:p>
    <w:p w14:paraId="492065D3">
      <w:pPr>
        <w:pStyle w:val="26"/>
        <w:numPr>
          <w:ilvl w:val="0"/>
          <w:numId w:val="1"/>
        </w:numPr>
        <w:bidi w:val="0"/>
        <w:ind w:left="1265" w:leftChars="0" w:hanging="425" w:firstLineChars="0"/>
        <w:rPr>
          <w:rFonts w:hint="eastAsia"/>
          <w:lang w:val="zh-CN"/>
        </w:rPr>
      </w:pPr>
      <w:r>
        <w:rPr>
          <w:rFonts w:hint="eastAsia"/>
          <w:lang w:val="zh-CN"/>
        </w:rPr>
        <w:t>突出凝聚共识：分享在促进祖国统一、民族团结、港澳协作、社会服务等方面携手合作的感人故事。</w:t>
      </w:r>
    </w:p>
    <w:p w14:paraId="5B2A6E8C">
      <w:pPr>
        <w:pStyle w:val="26"/>
        <w:bidi w:val="0"/>
        <w:rPr>
          <w:rFonts w:hint="eastAsia"/>
          <w:lang w:val="zh-CN"/>
        </w:rPr>
      </w:pPr>
      <w:r>
        <w:rPr>
          <w:rFonts w:hint="eastAsia"/>
          <w:lang w:val="zh-CN"/>
        </w:rPr>
        <w:t>5、征集要求</w:t>
      </w:r>
    </w:p>
    <w:p w14:paraId="412E08D1">
      <w:pPr>
        <w:pStyle w:val="26"/>
        <w:numPr>
          <w:ilvl w:val="0"/>
          <w:numId w:val="2"/>
        </w:numPr>
        <w:bidi w:val="0"/>
        <w:ind w:left="1265" w:leftChars="0" w:hanging="425" w:firstLineChars="0"/>
        <w:rPr>
          <w:rFonts w:hint="eastAsia"/>
          <w:lang w:val="zh-CN"/>
        </w:rPr>
      </w:pPr>
      <w:r>
        <w:rPr>
          <w:rFonts w:hint="eastAsia"/>
          <w:lang w:val="zh-CN"/>
        </w:rPr>
        <w:t>主题鲜明，内容真实，情感真挚，积极向上。</w:t>
      </w:r>
    </w:p>
    <w:p w14:paraId="05A65939">
      <w:pPr>
        <w:pStyle w:val="26"/>
        <w:numPr>
          <w:ilvl w:val="0"/>
          <w:numId w:val="2"/>
        </w:numPr>
        <w:bidi w:val="0"/>
        <w:ind w:left="1265" w:leftChars="0" w:hanging="425" w:firstLineChars="0"/>
        <w:rPr>
          <w:rFonts w:hint="eastAsia"/>
          <w:lang w:val="zh-CN"/>
        </w:rPr>
      </w:pPr>
      <w:r>
        <w:rPr>
          <w:rFonts w:hint="eastAsia"/>
          <w:lang w:val="zh-CN"/>
        </w:rPr>
        <w:t>体裁不限，标题自拟，可通过诗歌、散文、漫画、歌曲、短视频等形式。文字作品3000字以内，歌曲、短视频不超过5分钟。</w:t>
      </w:r>
    </w:p>
    <w:p w14:paraId="307E36FE">
      <w:pPr>
        <w:pStyle w:val="26"/>
        <w:numPr>
          <w:ilvl w:val="0"/>
          <w:numId w:val="2"/>
        </w:numPr>
        <w:bidi w:val="0"/>
        <w:ind w:left="1265" w:leftChars="0" w:hanging="425" w:firstLineChars="0"/>
        <w:rPr>
          <w:rFonts w:hint="eastAsia"/>
          <w:lang w:val="zh-CN"/>
        </w:rPr>
      </w:pPr>
      <w:r>
        <w:rPr>
          <w:rFonts w:hint="eastAsia"/>
          <w:lang w:val="zh-CN"/>
        </w:rPr>
        <w:t>来稿可配相关图片，每张图片不小于1M，图说50字以内。</w:t>
      </w:r>
    </w:p>
    <w:p w14:paraId="4D631D7C">
      <w:pPr>
        <w:pStyle w:val="26"/>
        <w:bidi w:val="0"/>
        <w:rPr>
          <w:rFonts w:hint="eastAsia"/>
          <w:lang w:val="zh-CN"/>
        </w:rPr>
      </w:pPr>
      <w:r>
        <w:rPr>
          <w:rFonts w:hint="eastAsia"/>
          <w:lang w:val="zh-CN"/>
        </w:rPr>
        <w:t>6、投稿方式</w:t>
      </w:r>
    </w:p>
    <w:p w14:paraId="017DEF2E">
      <w:pPr>
        <w:pStyle w:val="26"/>
        <w:bidi w:val="0"/>
        <w:rPr>
          <w:rFonts w:hint="eastAsia"/>
          <w:lang w:val="zh-CN"/>
        </w:rPr>
      </w:pPr>
      <w:r>
        <w:rPr>
          <w:rFonts w:hint="eastAsia"/>
          <w:lang w:val="zh-CN"/>
        </w:rPr>
        <w:t>稿件请发送至指定邮箱：zxzw@xm.gov.cn。文档采用“×单位×人：文章标题”形式命名，并在邮件中注明作者姓名、单位、联系电话。来稿将在厦门政协微信公众号、门户网站、厦门政协杂志等择优选登。</w:t>
      </w:r>
    </w:p>
    <w:p w14:paraId="01362908">
      <w:pPr>
        <w:pStyle w:val="28"/>
        <w:bidi w:val="0"/>
        <w:rPr>
          <w:rFonts w:hint="eastAsia"/>
          <w:lang w:val="zh-CN"/>
        </w:rPr>
      </w:pPr>
      <w:r>
        <w:rPr>
          <w:rFonts w:hint="eastAsia"/>
          <w:lang w:val="zh-CN"/>
        </w:rPr>
        <w:t>政协厦门市委员会办公厅</w:t>
      </w:r>
    </w:p>
    <w:p w14:paraId="6D49B434">
      <w:pPr>
        <w:pStyle w:val="28"/>
        <w:bidi w:val="0"/>
        <w:rPr>
          <w:rFonts w:hint="eastAsia"/>
          <w:lang w:val="zh-CN"/>
        </w:rPr>
      </w:pPr>
      <w:r>
        <w:rPr>
          <w:rFonts w:hint="eastAsia"/>
          <w:lang w:val="zh-CN"/>
        </w:rPr>
        <w:t>2025年2月26日</w:t>
      </w:r>
    </w:p>
    <w:p w14:paraId="750842DB">
      <w:pPr>
        <w:rPr>
          <w:b/>
          <w:highlight w:val="yellow"/>
          <w:lang w:val="zh-CN"/>
        </w:rPr>
      </w:pPr>
    </w:p>
    <w:p w14:paraId="736F79FE">
      <w:pPr>
        <w:pStyle w:val="13"/>
        <w:rPr>
          <w:rFonts w:hint="eastAsia"/>
        </w:rPr>
      </w:pPr>
    </w:p>
    <w:p w14:paraId="48DA71FE">
      <w:pPr>
        <w:pStyle w:val="13"/>
        <w:spacing w:after="240"/>
      </w:pPr>
    </w:p>
    <w:p w14:paraId="2AEF9813">
      <w:pPr>
        <w:pStyle w:val="13"/>
        <w:spacing w:after="240"/>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报宋简体">
    <w:altName w:val="宋体"/>
    <w:panose1 w:val="03000509000000000000"/>
    <w:charset w:val="86"/>
    <w:family w:val="script"/>
    <w:pitch w:val="default"/>
    <w:sig w:usb0="00000000" w:usb1="00000000" w:usb2="00000010" w:usb3="00000000" w:csb0="00040000" w:csb1="00000000"/>
  </w:font>
  <w:font w:name="Adobe 宋体 Std L">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方正细黑一简体">
    <w:altName w:val="黑体"/>
    <w:panose1 w:val="03000509000000000000"/>
    <w:charset w:val="86"/>
    <w:family w:val="script"/>
    <w:pitch w:val="default"/>
    <w:sig w:usb0="00000000" w:usb1="00000000" w:usb2="00000010" w:usb3="00000000" w:csb0="00040000" w:csb1="00000000"/>
  </w:font>
  <w:font w:name="方正宋三简体">
    <w:altName w:val="宋体"/>
    <w:panose1 w:val="03000509000000000000"/>
    <w:charset w:val="86"/>
    <w:family w:val="script"/>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兰亭黑3_GBK">
    <w:altName w:val="黑体"/>
    <w:panose1 w:val="02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兰亭黑7_GBK">
    <w:altName w:val="黑体"/>
    <w:panose1 w:val="02000000000000000000"/>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兰亭黑_GBK">
    <w:altName w:val="微软雅黑"/>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E9B25">
    <w:pPr>
      <w:pStyle w:val="12"/>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D556B">
    <w:pPr>
      <w:pStyle w:val="12"/>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97A52">
    <w:pPr>
      <w:pStyle w:val="12"/>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B0E6A">
    <w:pPr>
      <w:pStyle w:val="13"/>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2FA4">
    <w:pPr>
      <w:pStyle w:val="13"/>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DE49">
    <w:pPr>
      <w:pStyle w:val="13"/>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3CC2D"/>
    <w:multiLevelType w:val="singleLevel"/>
    <w:tmpl w:val="9883CC2D"/>
    <w:lvl w:ilvl="0" w:tentative="0">
      <w:start w:val="1"/>
      <w:numFmt w:val="decimal"/>
      <w:lvlText w:val="(%1)"/>
      <w:lvlJc w:val="left"/>
      <w:pPr>
        <w:tabs>
          <w:tab w:val="left" w:pos="840"/>
        </w:tabs>
        <w:ind w:left="1265" w:hanging="425"/>
      </w:pPr>
      <w:rPr>
        <w:rFonts w:hint="default"/>
      </w:rPr>
    </w:lvl>
  </w:abstractNum>
  <w:abstractNum w:abstractNumId="1">
    <w:nsid w:val="FCDA1637"/>
    <w:multiLevelType w:val="singleLevel"/>
    <w:tmpl w:val="FCDA1637"/>
    <w:lvl w:ilvl="0" w:tentative="0">
      <w:start w:val="1"/>
      <w:numFmt w:val="decimal"/>
      <w:lvlText w:val="(%1)"/>
      <w:lvlJc w:val="left"/>
      <w:pPr>
        <w:tabs>
          <w:tab w:val="left" w:pos="840"/>
        </w:tabs>
        <w:ind w:left="126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mEzMjRmZjJhODgwNGQwMTQ0M2IxYzljZDE3YTAifQ=="/>
    <w:docVar w:name="KSO_WPS_MARK_KEY" w:val="de879b87-9c0c-4e7a-ab20-1f6d90c79626"/>
  </w:docVars>
  <w:rsids>
    <w:rsidRoot w:val="0037397D"/>
    <w:rsid w:val="0000753E"/>
    <w:rsid w:val="00021753"/>
    <w:rsid w:val="00023ADC"/>
    <w:rsid w:val="000311A3"/>
    <w:rsid w:val="00035CC9"/>
    <w:rsid w:val="00046138"/>
    <w:rsid w:val="000733B5"/>
    <w:rsid w:val="0008160C"/>
    <w:rsid w:val="000A08B1"/>
    <w:rsid w:val="000B241A"/>
    <w:rsid w:val="000B2628"/>
    <w:rsid w:val="000C1034"/>
    <w:rsid w:val="001025D1"/>
    <w:rsid w:val="00116717"/>
    <w:rsid w:val="00160A0B"/>
    <w:rsid w:val="001712DC"/>
    <w:rsid w:val="00192DBB"/>
    <w:rsid w:val="00195203"/>
    <w:rsid w:val="001A7901"/>
    <w:rsid w:val="001D17EC"/>
    <w:rsid w:val="001D2149"/>
    <w:rsid w:val="001F2775"/>
    <w:rsid w:val="001F2D64"/>
    <w:rsid w:val="00220268"/>
    <w:rsid w:val="00250181"/>
    <w:rsid w:val="00271FF2"/>
    <w:rsid w:val="002734C9"/>
    <w:rsid w:val="0029144E"/>
    <w:rsid w:val="002B24CD"/>
    <w:rsid w:val="002C175D"/>
    <w:rsid w:val="002C3854"/>
    <w:rsid w:val="002C5010"/>
    <w:rsid w:val="00312B66"/>
    <w:rsid w:val="00321632"/>
    <w:rsid w:val="00346E03"/>
    <w:rsid w:val="0037397D"/>
    <w:rsid w:val="00373C14"/>
    <w:rsid w:val="00375699"/>
    <w:rsid w:val="00383C9D"/>
    <w:rsid w:val="00393FF1"/>
    <w:rsid w:val="003D6708"/>
    <w:rsid w:val="004076DE"/>
    <w:rsid w:val="00416DEB"/>
    <w:rsid w:val="0043281E"/>
    <w:rsid w:val="00461FFD"/>
    <w:rsid w:val="00481F3E"/>
    <w:rsid w:val="004844A2"/>
    <w:rsid w:val="00490CCA"/>
    <w:rsid w:val="00493045"/>
    <w:rsid w:val="004B452E"/>
    <w:rsid w:val="004F7D1E"/>
    <w:rsid w:val="005064CA"/>
    <w:rsid w:val="00561CC6"/>
    <w:rsid w:val="00573D81"/>
    <w:rsid w:val="005B3C76"/>
    <w:rsid w:val="005D2687"/>
    <w:rsid w:val="005E205A"/>
    <w:rsid w:val="00627C12"/>
    <w:rsid w:val="006615BF"/>
    <w:rsid w:val="00666DBE"/>
    <w:rsid w:val="00673848"/>
    <w:rsid w:val="006A2EAE"/>
    <w:rsid w:val="006E7638"/>
    <w:rsid w:val="0070334E"/>
    <w:rsid w:val="00752A1D"/>
    <w:rsid w:val="00776172"/>
    <w:rsid w:val="00777EDC"/>
    <w:rsid w:val="00795301"/>
    <w:rsid w:val="007B2559"/>
    <w:rsid w:val="007B7A19"/>
    <w:rsid w:val="008251CF"/>
    <w:rsid w:val="00832FB2"/>
    <w:rsid w:val="00842E33"/>
    <w:rsid w:val="008434A2"/>
    <w:rsid w:val="00864980"/>
    <w:rsid w:val="00865870"/>
    <w:rsid w:val="008B3866"/>
    <w:rsid w:val="008D29BE"/>
    <w:rsid w:val="00967F9D"/>
    <w:rsid w:val="00994ED2"/>
    <w:rsid w:val="009B371C"/>
    <w:rsid w:val="009B4A22"/>
    <w:rsid w:val="009D7ECC"/>
    <w:rsid w:val="00A102BA"/>
    <w:rsid w:val="00A17F2F"/>
    <w:rsid w:val="00A45707"/>
    <w:rsid w:val="00A90B6B"/>
    <w:rsid w:val="00AB1F83"/>
    <w:rsid w:val="00AB34DD"/>
    <w:rsid w:val="00AC0BFA"/>
    <w:rsid w:val="00AE7763"/>
    <w:rsid w:val="00AF1818"/>
    <w:rsid w:val="00B030D8"/>
    <w:rsid w:val="00B152FA"/>
    <w:rsid w:val="00B20582"/>
    <w:rsid w:val="00B26DB6"/>
    <w:rsid w:val="00B463F5"/>
    <w:rsid w:val="00B47DF6"/>
    <w:rsid w:val="00BB05EC"/>
    <w:rsid w:val="00BC02D8"/>
    <w:rsid w:val="00BF5EDD"/>
    <w:rsid w:val="00C03199"/>
    <w:rsid w:val="00C32CC7"/>
    <w:rsid w:val="00C614C3"/>
    <w:rsid w:val="00CA3C93"/>
    <w:rsid w:val="00D173EC"/>
    <w:rsid w:val="00D26779"/>
    <w:rsid w:val="00D37319"/>
    <w:rsid w:val="00D52498"/>
    <w:rsid w:val="00D60B53"/>
    <w:rsid w:val="00D6329E"/>
    <w:rsid w:val="00DE14F5"/>
    <w:rsid w:val="00E241BA"/>
    <w:rsid w:val="00E25946"/>
    <w:rsid w:val="00E442B2"/>
    <w:rsid w:val="00E667E8"/>
    <w:rsid w:val="00E80327"/>
    <w:rsid w:val="00E84DB3"/>
    <w:rsid w:val="00EB27C2"/>
    <w:rsid w:val="00ED4631"/>
    <w:rsid w:val="00ED5727"/>
    <w:rsid w:val="00ED6241"/>
    <w:rsid w:val="00F41E83"/>
    <w:rsid w:val="00F63D0F"/>
    <w:rsid w:val="00FA748B"/>
    <w:rsid w:val="00FB6623"/>
    <w:rsid w:val="00FD3DFE"/>
    <w:rsid w:val="00FF38AA"/>
    <w:rsid w:val="01F2753D"/>
    <w:rsid w:val="0233025C"/>
    <w:rsid w:val="04FF4FC2"/>
    <w:rsid w:val="062A4F87"/>
    <w:rsid w:val="067212B4"/>
    <w:rsid w:val="09DF1105"/>
    <w:rsid w:val="0B14790F"/>
    <w:rsid w:val="14224C65"/>
    <w:rsid w:val="164107F7"/>
    <w:rsid w:val="183103F7"/>
    <w:rsid w:val="1AC12CBA"/>
    <w:rsid w:val="1E09673E"/>
    <w:rsid w:val="23A221A9"/>
    <w:rsid w:val="28602626"/>
    <w:rsid w:val="29332221"/>
    <w:rsid w:val="2B254913"/>
    <w:rsid w:val="34AD3BB4"/>
    <w:rsid w:val="374E0226"/>
    <w:rsid w:val="38F27811"/>
    <w:rsid w:val="3DE9278F"/>
    <w:rsid w:val="473D2F6A"/>
    <w:rsid w:val="4C013661"/>
    <w:rsid w:val="4DB907A5"/>
    <w:rsid w:val="4FEE8BA7"/>
    <w:rsid w:val="58CB127E"/>
    <w:rsid w:val="5CC1635F"/>
    <w:rsid w:val="676052D9"/>
    <w:rsid w:val="6833299C"/>
    <w:rsid w:val="69386112"/>
    <w:rsid w:val="6B2343B5"/>
    <w:rsid w:val="6C6475C8"/>
    <w:rsid w:val="7B333B58"/>
    <w:rsid w:val="7DC15736"/>
    <w:rsid w:val="7EE50A3C"/>
    <w:rsid w:val="FAB36058"/>
    <w:rsid w:val="FE0F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center"/>
    </w:pPr>
    <w:rPr>
      <w:rFonts w:eastAsia="宋体" w:asciiTheme="minorHAnsi" w:hAnsiTheme="minorHAnsi" w:cstheme="minorBidi"/>
      <w:b/>
      <w:color w:val="000000" w:themeColor="text1"/>
      <w:kern w:val="2"/>
      <w:sz w:val="32"/>
      <w:szCs w:val="22"/>
      <w:lang w:val="en-US" w:eastAsia="zh-CN" w:bidi="ar-SA"/>
    </w:rPr>
  </w:style>
  <w:style w:type="paragraph" w:styleId="2">
    <w:name w:val="heading 1"/>
    <w:basedOn w:val="1"/>
    <w:next w:val="1"/>
    <w:link w:val="22"/>
    <w:qFormat/>
    <w:uiPriority w:val="9"/>
    <w:pPr>
      <w:keepNext/>
      <w:keepLines/>
      <w:spacing w:after="330"/>
      <w:jc w:val="left"/>
      <w:outlineLvl w:val="0"/>
    </w:pPr>
    <w:rPr>
      <w:rFonts w:eastAsia="黑体"/>
      <w:b w:val="0"/>
      <w:bCs/>
      <w:kern w:val="44"/>
      <w:sz w:val="44"/>
      <w:szCs w:val="28"/>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val="0"/>
      <w:bCs/>
      <w:szCs w:val="32"/>
    </w:rPr>
  </w:style>
  <w:style w:type="paragraph" w:styleId="4">
    <w:name w:val="heading 3"/>
    <w:basedOn w:val="1"/>
    <w:next w:val="1"/>
    <w:link w:val="24"/>
    <w:unhideWhenUsed/>
    <w:qFormat/>
    <w:uiPriority w:val="9"/>
    <w:pPr>
      <w:keepNext/>
      <w:keepLines/>
      <w:spacing w:before="260" w:after="260" w:line="416" w:lineRule="auto"/>
      <w:outlineLvl w:val="2"/>
    </w:pPr>
    <w:rPr>
      <w:bCs/>
      <w:szCs w:val="32"/>
    </w:rPr>
  </w:style>
  <w:style w:type="paragraph" w:styleId="5">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Cs/>
      <w:sz w:val="28"/>
      <w:szCs w:val="28"/>
    </w:rPr>
  </w:style>
  <w:style w:type="paragraph" w:styleId="6">
    <w:name w:val="heading 5"/>
    <w:basedOn w:val="1"/>
    <w:next w:val="1"/>
    <w:link w:val="34"/>
    <w:unhideWhenUsed/>
    <w:qFormat/>
    <w:uiPriority w:val="9"/>
    <w:pPr>
      <w:keepNext/>
      <w:keepLines/>
      <w:spacing w:before="280" w:after="290" w:line="376" w:lineRule="auto"/>
      <w:outlineLvl w:val="4"/>
    </w:pPr>
    <w:rPr>
      <w:b w:val="0"/>
      <w:bCs/>
      <w:sz w:val="28"/>
      <w:szCs w:val="28"/>
    </w:rPr>
  </w:style>
  <w:style w:type="paragraph" w:styleId="7">
    <w:name w:val="heading 6"/>
    <w:basedOn w:val="1"/>
    <w:next w:val="1"/>
    <w:link w:val="35"/>
    <w:unhideWhenUsed/>
    <w:qFormat/>
    <w:uiPriority w:val="9"/>
    <w:pPr>
      <w:keepNext/>
      <w:keepLines/>
      <w:spacing w:before="240" w:after="64" w:line="320" w:lineRule="auto"/>
      <w:outlineLvl w:val="5"/>
    </w:pPr>
    <w:rPr>
      <w:rFonts w:asciiTheme="majorHAnsi" w:hAnsiTheme="majorHAnsi" w:eastAsiaTheme="majorEastAsia" w:cstheme="majorBidi"/>
      <w:b w:val="0"/>
      <w:bCs/>
      <w:sz w:val="24"/>
      <w:szCs w:val="24"/>
    </w:rPr>
  </w:style>
  <w:style w:type="paragraph" w:styleId="8">
    <w:name w:val="heading 7"/>
    <w:basedOn w:val="1"/>
    <w:next w:val="1"/>
    <w:link w:val="36"/>
    <w:unhideWhenUsed/>
    <w:qFormat/>
    <w:uiPriority w:val="9"/>
    <w:pPr>
      <w:keepNext/>
      <w:keepLines/>
      <w:spacing w:before="240" w:after="64" w:line="320" w:lineRule="auto"/>
      <w:outlineLvl w:val="6"/>
    </w:pPr>
    <w:rPr>
      <w:b w:val="0"/>
      <w:bCs/>
      <w:sz w:val="24"/>
      <w:szCs w:val="24"/>
    </w:rPr>
  </w:style>
  <w:style w:type="paragraph" w:styleId="9">
    <w:name w:val="heading 8"/>
    <w:basedOn w:val="2"/>
    <w:next w:val="2"/>
    <w:link w:val="39"/>
    <w:unhideWhenUsed/>
    <w:qFormat/>
    <w:uiPriority w:val="9"/>
    <w:pPr>
      <w:outlineLvl w:val="7"/>
    </w:pPr>
    <w:rPr>
      <w:sz w:val="28"/>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Body Text"/>
    <w:basedOn w:val="1"/>
    <w:semiHidden/>
    <w:qFormat/>
    <w:uiPriority w:val="0"/>
    <w:rPr>
      <w:rFonts w:ascii="黑体" w:hAnsi="黑体" w:eastAsia="黑体" w:cs="黑体"/>
      <w:sz w:val="19"/>
      <w:szCs w:val="19"/>
      <w:lang w:val="en-US" w:eastAsia="en-US" w:bidi="ar-SA"/>
    </w:rPr>
  </w:style>
  <w:style w:type="paragraph" w:styleId="11">
    <w:name w:val="Balloon Text"/>
    <w:basedOn w:val="1"/>
    <w:link w:val="44"/>
    <w:semiHidden/>
    <w:unhideWhenUsed/>
    <w:qFormat/>
    <w:uiPriority w:val="99"/>
    <w:rPr>
      <w:sz w:val="18"/>
      <w:szCs w:val="18"/>
    </w:rPr>
  </w:style>
  <w:style w:type="paragraph" w:styleId="12">
    <w:name w:val="footer"/>
    <w:basedOn w:val="1"/>
    <w:link w:val="43"/>
    <w:semiHidden/>
    <w:unhideWhenUsed/>
    <w:qFormat/>
    <w:uiPriority w:val="99"/>
    <w:pPr>
      <w:tabs>
        <w:tab w:val="center" w:pos="4153"/>
        <w:tab w:val="right" w:pos="8306"/>
      </w:tabs>
      <w:snapToGrid w:val="0"/>
      <w:jc w:val="left"/>
    </w:pPr>
    <w:rPr>
      <w:sz w:val="18"/>
      <w:szCs w:val="18"/>
    </w:rPr>
  </w:style>
  <w:style w:type="paragraph" w:styleId="13">
    <w:name w:val="header"/>
    <w:basedOn w:val="1"/>
    <w:link w:val="2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14">
    <w:name w:val="Subtitle"/>
    <w:basedOn w:val="1"/>
    <w:next w:val="1"/>
    <w:link w:val="33"/>
    <w:qFormat/>
    <w:uiPriority w:val="11"/>
    <w:pPr>
      <w:spacing w:before="240" w:after="60" w:line="312" w:lineRule="auto"/>
      <w:outlineLvl w:val="1"/>
    </w:pPr>
    <w:rPr>
      <w:rFonts w:asciiTheme="majorHAnsi" w:hAnsiTheme="majorHAnsi" w:cstheme="majorBidi"/>
      <w:b w:val="0"/>
      <w:bCs/>
      <w:kern w:val="28"/>
      <w:szCs w:val="32"/>
    </w:rPr>
  </w:style>
  <w:style w:type="paragraph" w:styleId="15">
    <w:name w:val="Title"/>
    <w:basedOn w:val="1"/>
    <w:next w:val="1"/>
    <w:link w:val="32"/>
    <w:qFormat/>
    <w:uiPriority w:val="10"/>
    <w:pPr>
      <w:spacing w:before="240" w:after="60"/>
      <w:outlineLvl w:val="0"/>
    </w:pPr>
    <w:rPr>
      <w:rFonts w:asciiTheme="majorHAnsi" w:hAnsiTheme="majorHAnsi" w:cstheme="majorBidi"/>
      <w:b w:val="0"/>
      <w:bCs/>
      <w:szCs w:val="36"/>
    </w:rPr>
  </w:style>
  <w:style w:type="character" w:styleId="18">
    <w:name w:val="Strong"/>
    <w:basedOn w:val="17"/>
    <w:qFormat/>
    <w:uiPriority w:val="22"/>
    <w:rPr>
      <w:b/>
      <w:bCs/>
    </w:rPr>
  </w:style>
  <w:style w:type="paragraph" w:customStyle="1" w:styleId="19">
    <w:name w:val="正文样式"/>
    <w:basedOn w:val="1"/>
    <w:qFormat/>
    <w:uiPriority w:val="99"/>
    <w:pPr>
      <w:autoSpaceDE w:val="0"/>
      <w:autoSpaceDN w:val="0"/>
      <w:adjustRightInd w:val="0"/>
      <w:spacing w:line="320" w:lineRule="atLeast"/>
      <w:ind w:firstLine="397"/>
      <w:textAlignment w:val="center"/>
    </w:pPr>
    <w:rPr>
      <w:rFonts w:ascii="方正报宋简体" w:eastAsia="方正报宋简体" w:cs="方正报宋简体"/>
      <w:color w:val="000000"/>
      <w:kern w:val="0"/>
      <w:sz w:val="16"/>
      <w:szCs w:val="16"/>
      <w:lang w:val="zh-CN"/>
    </w:rPr>
  </w:style>
  <w:style w:type="paragraph" w:customStyle="1" w:styleId="20">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paragraph" w:customStyle="1" w:styleId="21">
    <w:name w:val="3小标题"/>
    <w:basedOn w:val="15"/>
    <w:qFormat/>
    <w:uiPriority w:val="0"/>
    <w:rPr>
      <w:rFonts w:ascii="黑体" w:hAnsi="黑体" w:eastAsia="黑体" w:cs="黑体"/>
      <w:spacing w:val="3"/>
      <w:sz w:val="28"/>
      <w:szCs w:val="28"/>
    </w:rPr>
  </w:style>
  <w:style w:type="character" w:customStyle="1" w:styleId="22">
    <w:name w:val="标题 1 Char"/>
    <w:basedOn w:val="17"/>
    <w:link w:val="2"/>
    <w:qFormat/>
    <w:uiPriority w:val="9"/>
    <w:rPr>
      <w:rFonts w:eastAsia="黑体"/>
      <w:bCs/>
      <w:color w:val="000000" w:themeColor="text1"/>
      <w:kern w:val="44"/>
      <w:sz w:val="44"/>
      <w:szCs w:val="28"/>
    </w:rPr>
  </w:style>
  <w:style w:type="character" w:customStyle="1" w:styleId="23">
    <w:name w:val="标题 2 Char"/>
    <w:basedOn w:val="17"/>
    <w:link w:val="3"/>
    <w:qFormat/>
    <w:uiPriority w:val="9"/>
    <w:rPr>
      <w:rFonts w:asciiTheme="majorHAnsi" w:hAnsiTheme="majorHAnsi" w:eastAsiaTheme="majorEastAsia" w:cstheme="majorBidi"/>
      <w:b/>
      <w:bCs/>
      <w:color w:val="000000" w:themeColor="text1"/>
      <w:kern w:val="2"/>
      <w:sz w:val="32"/>
      <w:szCs w:val="32"/>
    </w:rPr>
  </w:style>
  <w:style w:type="character" w:customStyle="1" w:styleId="24">
    <w:name w:val="标题 3 Char"/>
    <w:basedOn w:val="17"/>
    <w:link w:val="4"/>
    <w:qFormat/>
    <w:uiPriority w:val="9"/>
    <w:rPr>
      <w:b/>
      <w:bCs/>
      <w:sz w:val="32"/>
      <w:szCs w:val="32"/>
    </w:rPr>
  </w:style>
  <w:style w:type="character" w:customStyle="1" w:styleId="25">
    <w:name w:val="标题 4 Char"/>
    <w:basedOn w:val="17"/>
    <w:link w:val="5"/>
    <w:qFormat/>
    <w:uiPriority w:val="9"/>
    <w:rPr>
      <w:rFonts w:asciiTheme="majorHAnsi" w:hAnsiTheme="majorHAnsi" w:eastAsiaTheme="majorEastAsia" w:cstheme="majorBidi"/>
      <w:b/>
      <w:bCs/>
      <w:sz w:val="28"/>
      <w:szCs w:val="28"/>
    </w:rPr>
  </w:style>
  <w:style w:type="paragraph" w:customStyle="1" w:styleId="26">
    <w:name w:val="1政协正文格式"/>
    <w:basedOn w:val="1"/>
    <w:next w:val="13"/>
    <w:qFormat/>
    <w:uiPriority w:val="0"/>
    <w:pPr>
      <w:spacing w:afterLines="0" w:line="360" w:lineRule="auto"/>
      <w:ind w:firstLine="200" w:firstLineChars="200"/>
      <w:jc w:val="left"/>
    </w:pPr>
    <w:rPr>
      <w:rFonts w:ascii="Calibri" w:hAnsi="Times New Roman" w:cs="Times New Roman"/>
      <w:b w:val="0"/>
      <w:sz w:val="28"/>
      <w:szCs w:val="20"/>
    </w:rPr>
  </w:style>
  <w:style w:type="character" w:customStyle="1" w:styleId="27">
    <w:name w:val="页眉 Char"/>
    <w:basedOn w:val="17"/>
    <w:link w:val="13"/>
    <w:qFormat/>
    <w:uiPriority w:val="0"/>
    <w:rPr>
      <w:rFonts w:ascii="Times New Roman" w:hAnsi="Times New Roman" w:eastAsia="宋体" w:cs="Times New Roman"/>
      <w:sz w:val="18"/>
      <w:szCs w:val="20"/>
    </w:rPr>
  </w:style>
  <w:style w:type="paragraph" w:customStyle="1" w:styleId="28">
    <w:name w:val="2文末格式"/>
    <w:basedOn w:val="1"/>
    <w:qFormat/>
    <w:uiPriority w:val="0"/>
    <w:pPr>
      <w:widowControl/>
      <w:spacing w:line="400" w:lineRule="exact"/>
      <w:jc w:val="right"/>
    </w:pPr>
    <w:rPr>
      <w:rFonts w:ascii="Verdana" w:hAnsi="Verdana" w:eastAsia="华文楷体" w:cs="Times New Roman"/>
      <w:b w:val="0"/>
      <w:kern w:val="0"/>
      <w:sz w:val="28"/>
      <w:szCs w:val="20"/>
      <w:lang w:eastAsia="en-US"/>
    </w:rPr>
  </w:style>
  <w:style w:type="character" w:customStyle="1" w:styleId="29">
    <w:name w:val="连接"/>
    <w:qFormat/>
    <w:uiPriority w:val="99"/>
    <w:rPr>
      <w:rFonts w:ascii="方正细黑一简体" w:eastAsia="方正细黑一简体" w:cs="方正细黑一简体"/>
      <w:color w:val="191919"/>
      <w:spacing w:val="-4"/>
      <w:sz w:val="18"/>
      <w:szCs w:val="18"/>
    </w:rPr>
  </w:style>
  <w:style w:type="paragraph" w:customStyle="1" w:styleId="30">
    <w:name w:val="正文内文"/>
    <w:basedOn w:val="21"/>
    <w:qFormat/>
    <w:uiPriority w:val="99"/>
    <w:pPr>
      <w:spacing w:line="320" w:lineRule="atLeast"/>
      <w:ind w:firstLine="386"/>
    </w:pPr>
    <w:rPr>
      <w:rFonts w:ascii="方正宋三简体" w:eastAsia="方正宋三简体" w:cs="方正宋三简体"/>
      <w:spacing w:val="5"/>
      <w:sz w:val="18"/>
      <w:szCs w:val="18"/>
    </w:rPr>
  </w:style>
  <w:style w:type="character" w:customStyle="1" w:styleId="31">
    <w:name w:val="正文内文1"/>
    <w:qFormat/>
    <w:uiPriority w:val="99"/>
    <w:rPr>
      <w:rFonts w:ascii="方正宋三简体" w:eastAsia="方正宋三简体" w:cs="方正宋三简体"/>
      <w:spacing w:val="5"/>
      <w:sz w:val="18"/>
      <w:szCs w:val="18"/>
    </w:rPr>
  </w:style>
  <w:style w:type="character" w:customStyle="1" w:styleId="32">
    <w:name w:val="标题 Char"/>
    <w:basedOn w:val="17"/>
    <w:link w:val="15"/>
    <w:qFormat/>
    <w:uiPriority w:val="10"/>
    <w:rPr>
      <w:rFonts w:eastAsia="宋体" w:asciiTheme="majorHAnsi" w:hAnsiTheme="majorHAnsi" w:cstheme="majorBidi"/>
      <w:b/>
      <w:bCs/>
      <w:kern w:val="2"/>
      <w:sz w:val="32"/>
      <w:szCs w:val="36"/>
    </w:rPr>
  </w:style>
  <w:style w:type="character" w:customStyle="1" w:styleId="33">
    <w:name w:val="副标题 Char"/>
    <w:basedOn w:val="17"/>
    <w:link w:val="14"/>
    <w:qFormat/>
    <w:uiPriority w:val="11"/>
    <w:rPr>
      <w:rFonts w:eastAsia="宋体" w:asciiTheme="majorHAnsi" w:hAnsiTheme="majorHAnsi" w:cstheme="majorBidi"/>
      <w:b/>
      <w:bCs/>
      <w:kern w:val="28"/>
      <w:sz w:val="32"/>
      <w:szCs w:val="32"/>
    </w:rPr>
  </w:style>
  <w:style w:type="character" w:customStyle="1" w:styleId="34">
    <w:name w:val="标题 5 Char"/>
    <w:basedOn w:val="17"/>
    <w:link w:val="6"/>
    <w:qFormat/>
    <w:uiPriority w:val="9"/>
    <w:rPr>
      <w:b/>
      <w:bCs/>
      <w:kern w:val="2"/>
      <w:sz w:val="28"/>
      <w:szCs w:val="28"/>
    </w:rPr>
  </w:style>
  <w:style w:type="character" w:customStyle="1" w:styleId="35">
    <w:name w:val="标题 6 Char"/>
    <w:basedOn w:val="17"/>
    <w:link w:val="7"/>
    <w:qFormat/>
    <w:uiPriority w:val="9"/>
    <w:rPr>
      <w:rFonts w:asciiTheme="majorHAnsi" w:hAnsiTheme="majorHAnsi" w:eastAsiaTheme="majorEastAsia" w:cstheme="majorBidi"/>
      <w:b/>
      <w:bCs/>
      <w:kern w:val="2"/>
      <w:sz w:val="24"/>
      <w:szCs w:val="24"/>
    </w:rPr>
  </w:style>
  <w:style w:type="character" w:customStyle="1" w:styleId="36">
    <w:name w:val="标题 7 Char"/>
    <w:basedOn w:val="17"/>
    <w:link w:val="8"/>
    <w:qFormat/>
    <w:uiPriority w:val="9"/>
    <w:rPr>
      <w:b/>
      <w:bCs/>
      <w:kern w:val="2"/>
      <w:sz w:val="24"/>
      <w:szCs w:val="24"/>
    </w:rPr>
  </w:style>
  <w:style w:type="paragraph" w:customStyle="1" w:styleId="37">
    <w:name w:val="1.正文"/>
    <w:basedOn w:val="1"/>
    <w:next w:val="13"/>
    <w:qFormat/>
    <w:uiPriority w:val="0"/>
    <w:rPr>
      <w:rFonts w:ascii="Calibri" w:hAnsi="??" w:eastAsia="Times New Roman" w:cs="Times New Roman"/>
    </w:rPr>
  </w:style>
  <w:style w:type="paragraph" w:customStyle="1" w:styleId="38">
    <w:name w:val="4 名片"/>
    <w:basedOn w:val="20"/>
    <w:link w:val="40"/>
    <w:qFormat/>
    <w:uiPriority w:val="0"/>
    <w:pPr>
      <w:spacing w:afterLines="0"/>
    </w:pPr>
    <w:rPr>
      <w:rFonts w:ascii="方正兰亭黑3_GBK" w:eastAsia="仿宋_GB2312" w:cs="方正兰亭黑3_GBK"/>
      <w:b w:val="0"/>
      <w:color w:val="auto"/>
      <w:spacing w:val="-6"/>
      <w:sz w:val="28"/>
      <w:szCs w:val="28"/>
    </w:rPr>
  </w:style>
  <w:style w:type="character" w:customStyle="1" w:styleId="39">
    <w:name w:val="标题 8 Char"/>
    <w:basedOn w:val="17"/>
    <w:link w:val="9"/>
    <w:qFormat/>
    <w:uiPriority w:val="9"/>
    <w:rPr>
      <w:rFonts w:eastAsia="黑体"/>
      <w:b/>
      <w:bCs/>
      <w:color w:val="000000" w:themeColor="text1"/>
      <w:kern w:val="44"/>
      <w:sz w:val="28"/>
      <w:szCs w:val="44"/>
    </w:rPr>
  </w:style>
  <w:style w:type="character" w:customStyle="1" w:styleId="40">
    <w:name w:val="4 名片 Char"/>
    <w:basedOn w:val="17"/>
    <w:link w:val="38"/>
    <w:qFormat/>
    <w:uiPriority w:val="0"/>
    <w:rPr>
      <w:rFonts w:ascii="方正兰亭黑3_GBK" w:eastAsia="仿宋_GB2312" w:cs="方正兰亭黑3_GBK"/>
      <w:spacing w:val="-6"/>
      <w:sz w:val="28"/>
      <w:szCs w:val="28"/>
      <w:lang w:val="zh-CN"/>
    </w:rPr>
  </w:style>
  <w:style w:type="paragraph" w:customStyle="1" w:styleId="41">
    <w:name w:val="[无段落样式]"/>
    <w:qFormat/>
    <w:uiPriority w:val="0"/>
    <w:pPr>
      <w:widowControl w:val="0"/>
      <w:autoSpaceDE w:val="0"/>
      <w:autoSpaceDN w:val="0"/>
      <w:adjustRightInd w:val="0"/>
      <w:spacing w:line="288" w:lineRule="auto"/>
      <w:jc w:val="both"/>
      <w:textAlignment w:val="center"/>
    </w:pPr>
    <w:rPr>
      <w:rFonts w:ascii="方正兰亭黑7_GBK" w:eastAsia="方正兰亭黑7_GBK" w:hAnsiTheme="minorHAnsi" w:cstheme="minorBidi"/>
      <w:color w:val="000000"/>
      <w:sz w:val="24"/>
      <w:szCs w:val="24"/>
      <w:lang w:val="zh-CN" w:eastAsia="zh-CN" w:bidi="ar-SA"/>
    </w:rPr>
  </w:style>
  <w:style w:type="character" w:customStyle="1" w:styleId="42">
    <w:name w:val="Book Title"/>
    <w:basedOn w:val="17"/>
    <w:qFormat/>
    <w:uiPriority w:val="33"/>
    <w:rPr>
      <w:b/>
      <w:bCs/>
      <w:smallCaps/>
      <w:spacing w:val="5"/>
    </w:rPr>
  </w:style>
  <w:style w:type="character" w:customStyle="1" w:styleId="43">
    <w:name w:val="页脚 Char"/>
    <w:basedOn w:val="17"/>
    <w:link w:val="12"/>
    <w:semiHidden/>
    <w:qFormat/>
    <w:uiPriority w:val="99"/>
    <w:rPr>
      <w:rFonts w:eastAsia="宋体"/>
      <w:b/>
      <w:color w:val="000000" w:themeColor="text1"/>
      <w:kern w:val="2"/>
      <w:sz w:val="18"/>
      <w:szCs w:val="18"/>
    </w:rPr>
  </w:style>
  <w:style w:type="character" w:customStyle="1" w:styleId="44">
    <w:name w:val="批注框文本 Char"/>
    <w:basedOn w:val="17"/>
    <w:link w:val="11"/>
    <w:semiHidden/>
    <w:qFormat/>
    <w:uiPriority w:val="99"/>
    <w:rPr>
      <w:rFonts w:eastAsia="宋体"/>
      <w:b/>
      <w:color w:val="000000" w:themeColor="text1"/>
      <w:kern w:val="2"/>
      <w:sz w:val="18"/>
      <w:szCs w:val="18"/>
    </w:rPr>
  </w:style>
  <w:style w:type="character" w:customStyle="1" w:styleId="45">
    <w:name w:val="导语"/>
    <w:qFormat/>
    <w:uiPriority w:val="99"/>
    <w:rPr>
      <w:rFonts w:ascii="方正楷体简体" w:eastAsia="方正楷体简体" w:cs="方正楷体简体"/>
      <w:sz w:val="19"/>
      <w:szCs w:val="19"/>
    </w:rPr>
  </w:style>
  <w:style w:type="character" w:customStyle="1" w:styleId="46">
    <w:name w:val="内文字体"/>
    <w:qFormat/>
    <w:uiPriority w:val="99"/>
    <w:rPr>
      <w:rFonts w:ascii="方正兰亭黑_GBK" w:eastAsia="方正兰亭黑_GBK" w:cs="方正兰亭黑_GBK"/>
      <w:color w:val="191919"/>
      <w:sz w:val="18"/>
      <w:szCs w:val="18"/>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9597</Words>
  <Characters>9690</Characters>
  <Lines>302</Lines>
  <Paragraphs>85</Paragraphs>
  <TotalTime>5</TotalTime>
  <ScaleCrop>false</ScaleCrop>
  <LinksUpToDate>false</LinksUpToDate>
  <CharactersWithSpaces>9714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2022-04-02T23:39:00Z</dcterms:created>
  <dc:creator>Administrator</dc:creator>
  <cp:lastModifiedBy>舒牖</cp:lastModifiedBy>
  <dcterms:modified xsi:type="dcterms:W3CDTF">2025-03-24T04:14:44Z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B49FE4C567D44AE6ABACBA4FC0B46801_13</vt:lpwstr>
  </property>
  <property fmtid="{D5CDD505-2E9C-101B-9397-08002B2CF9AE}" pid="4" name="KSOTemplateDocerSaveRecord">
    <vt:lpwstr>eyJoZGlkIjoiZmM2ZjMyNTNhYmM2ZGI1YTVhYWRlNzMzZDQ3Nzg5OWUiLCJ1c2VySWQiOiI0MzYzMzcyODkifQ==</vt:lpwstr>
  </property>
</Properties>
</file>